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75F32">
      <w:pPr>
        <w:spacing w:line="360" w:lineRule="auto"/>
        <w:jc w:val="center"/>
        <w:rPr>
          <w:rFonts w:hint="eastAsia" w:ascii="宋体" w:hAnsi="宋体" w:eastAsia="宋体" w:cs="Times New Roman"/>
          <w:b/>
          <w:bCs/>
          <w:sz w:val="32"/>
          <w:szCs w:val="32"/>
          <w:highlight w:val="none"/>
          <w:u w:val="single"/>
          <w:lang w:eastAsia="zh-CN"/>
        </w:rPr>
      </w:pPr>
    </w:p>
    <w:p w14:paraId="060E75D8">
      <w:pPr>
        <w:jc w:val="center"/>
        <w:rPr>
          <w:rFonts w:hint="eastAsia" w:ascii="方正小标宋_GBK" w:hAnsi="方正小标宋_GBK" w:eastAsia="方正小标宋_GBK" w:cs="方正小标宋_GBK"/>
          <w:b/>
          <w:bCs/>
          <w:sz w:val="36"/>
          <w:szCs w:val="36"/>
          <w:highlight w:val="none"/>
          <w:u w:val="single"/>
          <w:lang w:val="en-US" w:eastAsia="zh-CN"/>
        </w:rPr>
      </w:pPr>
      <w:r>
        <w:rPr>
          <w:rFonts w:hint="eastAsia" w:ascii="方正小标宋_GBK" w:hAnsi="方正小标宋_GBK" w:eastAsia="方正小标宋_GBK" w:cs="方正小标宋_GBK"/>
          <w:b/>
          <w:bCs/>
          <w:sz w:val="36"/>
          <w:szCs w:val="36"/>
          <w:highlight w:val="none"/>
          <w:u w:val="single"/>
          <w:lang w:val="en-US" w:eastAsia="zh-CN"/>
        </w:rPr>
        <w:t>阜阳建投物业服务有限公司2026年度园林绿化涂白剂、保温棉、保温膜采购项目</w:t>
      </w:r>
    </w:p>
    <w:p w14:paraId="265C5F39">
      <w:pPr>
        <w:jc w:val="center"/>
        <w:rPr>
          <w:rFonts w:hint="eastAsia" w:ascii="方正小标宋_GBK" w:hAnsi="方正小标宋_GBK" w:eastAsia="方正小标宋_GBK" w:cs="方正小标宋_GBK"/>
          <w:b/>
          <w:bCs/>
          <w:sz w:val="44"/>
          <w:szCs w:val="44"/>
          <w:highlight w:val="none"/>
          <w:u w:val="single"/>
          <w:lang w:val="en-US" w:eastAsia="zh-CN"/>
        </w:rPr>
      </w:pPr>
    </w:p>
    <w:p w14:paraId="777BD163">
      <w:pPr>
        <w:jc w:val="center"/>
        <w:rPr>
          <w:rFonts w:hint="eastAsia" w:ascii="宋体" w:hAnsi="宋体"/>
          <w:sz w:val="32"/>
          <w:szCs w:val="32"/>
          <w:highlight w:val="none"/>
        </w:rPr>
      </w:pPr>
    </w:p>
    <w:p w14:paraId="685FCDC5">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sz w:val="32"/>
          <w:szCs w:val="32"/>
          <w:highlight w:val="none"/>
        </w:rPr>
      </w:pPr>
    </w:p>
    <w:p w14:paraId="051CB090">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sz w:val="32"/>
          <w:szCs w:val="32"/>
          <w:highlight w:val="none"/>
        </w:rPr>
      </w:pPr>
      <w:r>
        <w:rPr>
          <w:rFonts w:hint="eastAsia" w:ascii="方正小标宋_GBK" w:hAnsi="方正小标宋_GBK" w:eastAsia="方正小标宋_GBK" w:cs="方正小标宋_GBK"/>
          <w:b/>
          <w:sz w:val="32"/>
          <w:szCs w:val="32"/>
          <w:highlight w:val="none"/>
        </w:rPr>
        <w:t>竞争性</w:t>
      </w:r>
      <w:r>
        <w:rPr>
          <w:rFonts w:hint="eastAsia" w:ascii="方正小标宋_GBK" w:hAnsi="方正小标宋_GBK" w:eastAsia="方正小标宋_GBK" w:cs="方正小标宋_GBK"/>
          <w:b/>
          <w:sz w:val="32"/>
          <w:szCs w:val="32"/>
          <w:highlight w:val="none"/>
          <w:lang w:eastAsia="zh-CN"/>
        </w:rPr>
        <w:t>谈判</w:t>
      </w:r>
      <w:r>
        <w:rPr>
          <w:rFonts w:hint="eastAsia" w:ascii="方正小标宋_GBK" w:hAnsi="方正小标宋_GBK" w:eastAsia="方正小标宋_GBK" w:cs="方正小标宋_GBK"/>
          <w:b/>
          <w:sz w:val="32"/>
          <w:szCs w:val="32"/>
          <w:highlight w:val="none"/>
        </w:rPr>
        <w:t>文件</w:t>
      </w:r>
    </w:p>
    <w:p w14:paraId="095968E6">
      <w:pPr>
        <w:keepNext w:val="0"/>
        <w:keepLines w:val="0"/>
        <w:pageBreakBefore w:val="0"/>
        <w:widowControl w:val="0"/>
        <w:kinsoku/>
        <w:wordWrap/>
        <w:overflowPunct/>
        <w:topLinePunct w:val="0"/>
        <w:autoSpaceDE/>
        <w:autoSpaceDN/>
        <w:bidi w:val="0"/>
        <w:adjustRightInd/>
        <w:snapToGrid/>
        <w:jc w:val="center"/>
        <w:textAlignment w:val="auto"/>
        <w:rPr>
          <w:rFonts w:hint="default" w:ascii="方正小标宋_GBK" w:hAnsi="方正小标宋_GBK" w:eastAsia="方正小标宋_GBK" w:cs="方正小标宋_GBK"/>
          <w:b/>
          <w:bCs/>
          <w:sz w:val="44"/>
          <w:szCs w:val="44"/>
          <w:highlight w:val="none"/>
          <w:u w:val="single"/>
          <w:lang w:val="en-US" w:eastAsia="zh-CN"/>
        </w:rPr>
      </w:pPr>
    </w:p>
    <w:p w14:paraId="12984EA7">
      <w:pPr>
        <w:keepNext w:val="0"/>
        <w:keepLines w:val="0"/>
        <w:pageBreakBefore w:val="0"/>
        <w:widowControl w:val="0"/>
        <w:kinsoku/>
        <w:wordWrap/>
        <w:overflowPunct/>
        <w:topLinePunct w:val="0"/>
        <w:autoSpaceDE/>
        <w:autoSpaceDN/>
        <w:bidi w:val="0"/>
        <w:adjustRightInd/>
        <w:snapToGrid/>
        <w:ind w:firstLine="2718" w:firstLineChars="846"/>
        <w:jc w:val="center"/>
        <w:textAlignment w:val="auto"/>
        <w:rPr>
          <w:rFonts w:hint="eastAsia" w:ascii="方正小标宋_GBK" w:hAnsi="方正小标宋_GBK" w:eastAsia="方正小标宋_GBK" w:cs="方正小标宋_GBK"/>
          <w:b/>
          <w:sz w:val="32"/>
          <w:szCs w:val="32"/>
          <w:highlight w:val="none"/>
        </w:rPr>
      </w:pPr>
    </w:p>
    <w:p w14:paraId="7C109E81">
      <w:pPr>
        <w:keepNext w:val="0"/>
        <w:keepLines w:val="0"/>
        <w:pageBreakBefore w:val="0"/>
        <w:widowControl w:val="0"/>
        <w:kinsoku/>
        <w:wordWrap/>
        <w:overflowPunct/>
        <w:topLinePunct w:val="0"/>
        <w:autoSpaceDE/>
        <w:autoSpaceDN/>
        <w:bidi w:val="0"/>
        <w:adjustRightInd/>
        <w:snapToGrid/>
        <w:ind w:firstLine="1928" w:firstLineChars="600"/>
        <w:jc w:val="center"/>
        <w:textAlignment w:val="auto"/>
        <w:rPr>
          <w:rFonts w:hint="eastAsia" w:ascii="方正小标宋_GBK" w:hAnsi="方正小标宋_GBK" w:eastAsia="方正小标宋_GBK" w:cs="方正小标宋_GBK"/>
          <w:b/>
          <w:sz w:val="32"/>
          <w:szCs w:val="32"/>
          <w:highlight w:val="none"/>
        </w:rPr>
      </w:pPr>
    </w:p>
    <w:p w14:paraId="1D82531C">
      <w:pPr>
        <w:keepNext w:val="0"/>
        <w:keepLines w:val="0"/>
        <w:pageBreakBefore w:val="0"/>
        <w:widowControl w:val="0"/>
        <w:kinsoku/>
        <w:wordWrap/>
        <w:overflowPunct/>
        <w:topLinePunct w:val="0"/>
        <w:autoSpaceDE/>
        <w:autoSpaceDN/>
        <w:bidi w:val="0"/>
        <w:adjustRightInd/>
        <w:snapToGrid/>
        <w:ind w:firstLine="1928" w:firstLineChars="600"/>
        <w:jc w:val="center"/>
        <w:textAlignment w:val="auto"/>
        <w:rPr>
          <w:rFonts w:hint="eastAsia" w:ascii="方正小标宋_GBK" w:hAnsi="方正小标宋_GBK" w:eastAsia="方正小标宋_GBK" w:cs="方正小标宋_GBK"/>
          <w:b/>
          <w:sz w:val="32"/>
          <w:szCs w:val="32"/>
          <w:highlight w:val="none"/>
        </w:rPr>
      </w:pPr>
    </w:p>
    <w:p w14:paraId="51ADEDBD">
      <w:pPr>
        <w:keepNext w:val="0"/>
        <w:keepLines w:val="0"/>
        <w:pageBreakBefore w:val="0"/>
        <w:widowControl w:val="0"/>
        <w:kinsoku/>
        <w:wordWrap/>
        <w:overflowPunct/>
        <w:topLinePunct w:val="0"/>
        <w:autoSpaceDE/>
        <w:autoSpaceDN/>
        <w:bidi w:val="0"/>
        <w:adjustRightInd/>
        <w:snapToGrid/>
        <w:ind w:firstLine="1928" w:firstLineChars="600"/>
        <w:jc w:val="center"/>
        <w:textAlignment w:val="auto"/>
        <w:rPr>
          <w:rFonts w:hint="eastAsia" w:ascii="方正小标宋_GBK" w:hAnsi="方正小标宋_GBK" w:eastAsia="方正小标宋_GBK" w:cs="方正小标宋_GBK"/>
          <w:b/>
          <w:sz w:val="32"/>
          <w:szCs w:val="32"/>
          <w:highlight w:val="none"/>
        </w:rPr>
      </w:pPr>
    </w:p>
    <w:p w14:paraId="27D5195D">
      <w:pPr>
        <w:keepNext w:val="0"/>
        <w:keepLines w:val="0"/>
        <w:pageBreakBefore w:val="0"/>
        <w:widowControl w:val="0"/>
        <w:kinsoku/>
        <w:wordWrap/>
        <w:overflowPunct/>
        <w:topLinePunct w:val="0"/>
        <w:autoSpaceDE/>
        <w:autoSpaceDN/>
        <w:bidi w:val="0"/>
        <w:adjustRightInd/>
        <w:snapToGrid/>
        <w:ind w:firstLine="1928" w:firstLineChars="600"/>
        <w:jc w:val="center"/>
        <w:textAlignment w:val="auto"/>
        <w:rPr>
          <w:rFonts w:hint="eastAsia" w:ascii="方正小标宋_GBK" w:hAnsi="方正小标宋_GBK" w:eastAsia="方正小标宋_GBK" w:cs="方正小标宋_GBK"/>
          <w:b/>
          <w:sz w:val="32"/>
          <w:szCs w:val="32"/>
          <w:highlight w:val="none"/>
        </w:rPr>
      </w:pPr>
    </w:p>
    <w:p w14:paraId="4D75208B">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sz w:val="32"/>
          <w:szCs w:val="32"/>
          <w:highlight w:val="none"/>
          <w:u w:val="single"/>
          <w:lang w:val="en-US" w:eastAsia="zh-CN"/>
        </w:rPr>
      </w:pPr>
      <w:r>
        <w:rPr>
          <w:rFonts w:hint="eastAsia" w:ascii="方正小标宋_GBK" w:hAnsi="方正小标宋_GBK" w:eastAsia="方正小标宋_GBK" w:cs="方正小标宋_GBK"/>
          <w:b/>
          <w:sz w:val="32"/>
          <w:szCs w:val="32"/>
          <w:highlight w:val="none"/>
        </w:rPr>
        <w:t>项目编号：</w:t>
      </w:r>
      <w:r>
        <w:rPr>
          <w:rFonts w:hint="eastAsia" w:ascii="方正小标宋_GBK" w:hAnsi="方正小标宋_GBK" w:eastAsia="方正小标宋_GBK" w:cs="方正小标宋_GBK"/>
          <w:b/>
          <w:sz w:val="32"/>
          <w:szCs w:val="32"/>
          <w:highlight w:val="none"/>
          <w:lang w:eastAsia="zh-CN"/>
        </w:rPr>
        <w:t>FYJTLC-ZB-2026-14</w:t>
      </w:r>
    </w:p>
    <w:p w14:paraId="59420CE7">
      <w:pPr>
        <w:ind w:firstLine="2707" w:firstLineChars="846"/>
        <w:rPr>
          <w:rFonts w:hint="eastAsia" w:ascii="方正小标宋_GBK" w:hAnsi="方正小标宋_GBK" w:eastAsia="方正小标宋_GBK" w:cs="方正小标宋_GBK"/>
          <w:sz w:val="32"/>
          <w:szCs w:val="32"/>
          <w:highlight w:val="none"/>
        </w:rPr>
      </w:pPr>
    </w:p>
    <w:p w14:paraId="409D75C1">
      <w:pPr>
        <w:ind w:firstLine="2707" w:firstLineChars="846"/>
        <w:rPr>
          <w:rFonts w:hint="eastAsia" w:ascii="方正小标宋_GBK" w:hAnsi="方正小标宋_GBK" w:eastAsia="方正小标宋_GBK" w:cs="方正小标宋_GBK"/>
          <w:sz w:val="32"/>
          <w:szCs w:val="32"/>
          <w:highlight w:val="none"/>
        </w:rPr>
      </w:pPr>
    </w:p>
    <w:p w14:paraId="4893FD0D">
      <w:pPr>
        <w:ind w:firstLine="2707" w:firstLineChars="846"/>
        <w:rPr>
          <w:rFonts w:hint="eastAsia" w:ascii="方正小标宋_GBK" w:hAnsi="方正小标宋_GBK" w:eastAsia="方正小标宋_GBK" w:cs="方正小标宋_GBK"/>
          <w:sz w:val="32"/>
          <w:szCs w:val="32"/>
          <w:highlight w:val="none"/>
        </w:rPr>
      </w:pPr>
    </w:p>
    <w:p w14:paraId="6ACB4ED0">
      <w:pPr>
        <w:rPr>
          <w:rFonts w:hint="eastAsia" w:ascii="方正小标宋_GBK" w:hAnsi="方正小标宋_GBK" w:eastAsia="方正小标宋_GBK" w:cs="方正小标宋_GBK"/>
          <w:sz w:val="32"/>
          <w:szCs w:val="32"/>
          <w:highlight w:val="none"/>
        </w:rPr>
      </w:pPr>
    </w:p>
    <w:p w14:paraId="2A77C3E5">
      <w:pPr>
        <w:rPr>
          <w:rFonts w:hint="eastAsia" w:ascii="方正小标宋_GBK" w:hAnsi="方正小标宋_GBK" w:eastAsia="方正小标宋_GBK" w:cs="方正小标宋_GBK"/>
          <w:sz w:val="32"/>
          <w:szCs w:val="32"/>
          <w:highlight w:val="none"/>
        </w:rPr>
      </w:pPr>
    </w:p>
    <w:p w14:paraId="3DF37F43">
      <w:pPr>
        <w:rPr>
          <w:rFonts w:hint="eastAsia" w:ascii="方正小标宋_GBK" w:hAnsi="方正小标宋_GBK" w:eastAsia="方正小标宋_GBK" w:cs="方正小标宋_GBK"/>
          <w:b/>
          <w:sz w:val="32"/>
          <w:szCs w:val="32"/>
          <w:highlight w:val="none"/>
        </w:rPr>
      </w:pPr>
      <w:r>
        <w:rPr>
          <w:rFonts w:hint="eastAsia" w:ascii="方正小标宋_GBK" w:hAnsi="方正小标宋_GBK" w:eastAsia="方正小标宋_GBK" w:cs="方正小标宋_GBK"/>
          <w:b/>
          <w:sz w:val="32"/>
          <w:szCs w:val="32"/>
          <w:highlight w:val="none"/>
        </w:rPr>
        <w:t xml:space="preserve">       </w:t>
      </w:r>
    </w:p>
    <w:p w14:paraId="02036087">
      <w:pPr>
        <w:spacing w:line="440" w:lineRule="exact"/>
        <w:ind w:right="42" w:rightChars="20"/>
        <w:jc w:val="center"/>
        <w:rPr>
          <w:rFonts w:hint="eastAsia" w:ascii="方正小标宋_GBK" w:hAnsi="方正小标宋_GBK" w:eastAsia="方正小标宋_GBK" w:cs="方正小标宋_GBK"/>
          <w:b/>
          <w:sz w:val="32"/>
          <w:szCs w:val="32"/>
          <w:highlight w:val="none"/>
          <w:lang w:eastAsia="zh-CN"/>
        </w:rPr>
      </w:pPr>
      <w:r>
        <w:rPr>
          <w:rFonts w:hint="eastAsia" w:ascii="方正小标宋_GBK" w:hAnsi="方正小标宋_GBK" w:eastAsia="方正小标宋_GBK" w:cs="方正小标宋_GBK"/>
          <w:b/>
          <w:sz w:val="32"/>
          <w:szCs w:val="32"/>
          <w:highlight w:val="none"/>
        </w:rPr>
        <w:t>采购人：</w:t>
      </w:r>
      <w:r>
        <w:rPr>
          <w:rFonts w:hint="eastAsia" w:ascii="方正小标宋_GBK" w:hAnsi="方正小标宋_GBK" w:eastAsia="方正小标宋_GBK" w:cs="方正小标宋_GBK"/>
          <w:b/>
          <w:sz w:val="32"/>
          <w:szCs w:val="32"/>
          <w:highlight w:val="none"/>
          <w:lang w:eastAsia="zh-CN"/>
        </w:rPr>
        <w:t>阜阳建投物业服务有限公司</w:t>
      </w:r>
    </w:p>
    <w:p w14:paraId="5B8F3EC7">
      <w:pPr>
        <w:rPr>
          <w:rFonts w:hint="eastAsia" w:ascii="方正小标宋_GBK" w:hAnsi="方正小标宋_GBK" w:eastAsia="方正小标宋_GBK" w:cs="方正小标宋_GBK"/>
          <w:b/>
          <w:sz w:val="32"/>
          <w:szCs w:val="32"/>
          <w:highlight w:val="none"/>
        </w:rPr>
      </w:pPr>
    </w:p>
    <w:p w14:paraId="565B0B8B">
      <w:pPr>
        <w:rPr>
          <w:rFonts w:hint="eastAsia" w:ascii="方正小标宋_GBK" w:hAnsi="方正小标宋_GBK" w:eastAsia="方正小标宋_GBK" w:cs="方正小标宋_GBK"/>
          <w:b/>
          <w:sz w:val="32"/>
          <w:szCs w:val="32"/>
          <w:highlight w:val="none"/>
          <w:u w:val="single"/>
        </w:rPr>
      </w:pPr>
    </w:p>
    <w:p w14:paraId="0155F23E">
      <w:pPr>
        <w:spacing w:line="440" w:lineRule="exact"/>
        <w:ind w:right="42" w:rightChars="20"/>
        <w:jc w:val="center"/>
        <w:rPr>
          <w:rFonts w:hint="eastAsia" w:ascii="方正小标宋_GBK" w:hAnsi="方正小标宋_GBK" w:eastAsia="方正小标宋_GBK" w:cs="方正小标宋_GBK"/>
          <w:b/>
          <w:sz w:val="32"/>
          <w:szCs w:val="32"/>
          <w:highlight w:val="none"/>
        </w:rPr>
      </w:pPr>
    </w:p>
    <w:p w14:paraId="468FD700">
      <w:pPr>
        <w:spacing w:line="440" w:lineRule="exact"/>
        <w:ind w:right="42" w:rightChars="20"/>
        <w:jc w:val="center"/>
        <w:rPr>
          <w:rFonts w:hint="eastAsia" w:ascii="方正小标宋_GBK" w:hAnsi="方正小标宋_GBK" w:eastAsia="方正小标宋_GBK" w:cs="方正小标宋_GBK"/>
          <w:b/>
          <w:sz w:val="32"/>
          <w:szCs w:val="32"/>
          <w:highlight w:val="none"/>
        </w:rPr>
      </w:pPr>
    </w:p>
    <w:p w14:paraId="531739DB">
      <w:pPr>
        <w:spacing w:line="440" w:lineRule="exact"/>
        <w:ind w:right="42" w:rightChars="20"/>
        <w:jc w:val="center"/>
        <w:rPr>
          <w:rFonts w:hint="eastAsia" w:ascii="方正小标宋_GBK" w:hAnsi="方正小标宋_GBK" w:eastAsia="方正小标宋_GBK" w:cs="方正小标宋_GBK"/>
          <w:b/>
          <w:sz w:val="32"/>
          <w:szCs w:val="32"/>
          <w:highlight w:val="none"/>
        </w:rPr>
      </w:pPr>
      <w:r>
        <w:rPr>
          <w:rFonts w:hint="eastAsia" w:ascii="方正小标宋_GBK" w:hAnsi="方正小标宋_GBK" w:eastAsia="方正小标宋_GBK" w:cs="方正小标宋_GBK"/>
          <w:b/>
          <w:kern w:val="0"/>
          <w:sz w:val="32"/>
          <w:szCs w:val="32"/>
          <w:highlight w:val="none"/>
          <w:u w:val="single"/>
          <w:lang w:val="zh-CN" w:bidi="zh-CN"/>
        </w:rPr>
        <w:t>202</w:t>
      </w:r>
      <w:r>
        <w:rPr>
          <w:rFonts w:hint="eastAsia" w:ascii="方正小标宋_GBK" w:hAnsi="方正小标宋_GBK" w:eastAsia="方正小标宋_GBK" w:cs="方正小标宋_GBK"/>
          <w:b/>
          <w:kern w:val="0"/>
          <w:sz w:val="32"/>
          <w:szCs w:val="32"/>
          <w:highlight w:val="none"/>
          <w:u w:val="single"/>
          <w:lang w:val="en-US" w:bidi="zh-CN"/>
        </w:rPr>
        <w:t>6</w:t>
      </w:r>
      <w:r>
        <w:rPr>
          <w:rFonts w:hint="eastAsia" w:ascii="方正小标宋_GBK" w:hAnsi="方正小标宋_GBK" w:eastAsia="方正小标宋_GBK" w:cs="方正小标宋_GBK"/>
          <w:b/>
          <w:kern w:val="0"/>
          <w:sz w:val="32"/>
          <w:szCs w:val="32"/>
          <w:highlight w:val="none"/>
          <w:lang w:val="zh-CN" w:bidi="zh-CN"/>
        </w:rPr>
        <w:t>年</w:t>
      </w:r>
      <w:r>
        <w:rPr>
          <w:rFonts w:hint="eastAsia" w:ascii="方正小标宋_GBK" w:hAnsi="方正小标宋_GBK" w:eastAsia="方正小标宋_GBK" w:cs="方正小标宋_GBK"/>
          <w:b/>
          <w:kern w:val="0"/>
          <w:sz w:val="32"/>
          <w:szCs w:val="32"/>
          <w:highlight w:val="none"/>
          <w:u w:val="single"/>
          <w:lang w:val="en-US" w:bidi="zh-CN"/>
        </w:rPr>
        <w:t>10</w:t>
      </w:r>
      <w:r>
        <w:rPr>
          <w:rFonts w:hint="eastAsia" w:ascii="方正小标宋_GBK" w:hAnsi="方正小标宋_GBK" w:eastAsia="方正小标宋_GBK" w:cs="方正小标宋_GBK"/>
          <w:b/>
          <w:kern w:val="0"/>
          <w:sz w:val="32"/>
          <w:szCs w:val="32"/>
          <w:highlight w:val="none"/>
          <w:lang w:val="zh-CN" w:bidi="zh-CN"/>
        </w:rPr>
        <w:t>月</w:t>
      </w:r>
    </w:p>
    <w:p w14:paraId="49654480">
      <w:pPr>
        <w:widowControl/>
        <w:jc w:val="left"/>
        <w:rPr>
          <w:rFonts w:ascii="宋体" w:hAnsi="宋体" w:eastAsia="宋体" w:cs="Times New Roman"/>
          <w:sz w:val="32"/>
          <w:szCs w:val="32"/>
          <w:highlight w:val="none"/>
        </w:rPr>
      </w:pPr>
      <w:r>
        <w:rPr>
          <w:rFonts w:ascii="宋体" w:hAnsi="宋体" w:eastAsia="宋体" w:cs="Times New Roman"/>
          <w:sz w:val="32"/>
          <w:szCs w:val="32"/>
          <w:highlight w:val="none"/>
        </w:rPr>
        <w:br w:type="page"/>
      </w:r>
    </w:p>
    <w:p w14:paraId="62C51EB1">
      <w:pPr>
        <w:tabs>
          <w:tab w:val="left" w:pos="563"/>
        </w:tabs>
        <w:spacing w:before="54"/>
        <w:ind w:right="133"/>
        <w:jc w:val="center"/>
        <w:rPr>
          <w:rFonts w:ascii="宋体" w:hAnsi="宋体" w:eastAsia="宋体" w:cs="Times New Roman"/>
          <w:b/>
          <w:sz w:val="32"/>
          <w:szCs w:val="32"/>
          <w:highlight w:val="none"/>
        </w:rPr>
      </w:pPr>
      <w:r>
        <w:rPr>
          <w:rFonts w:ascii="宋体" w:hAnsi="宋体" w:eastAsia="宋体" w:cs="Times New Roman"/>
          <w:b/>
          <w:sz w:val="32"/>
          <w:szCs w:val="32"/>
          <w:highlight w:val="none"/>
        </w:rPr>
        <w:t>目</w:t>
      </w:r>
      <w:r>
        <w:rPr>
          <w:rFonts w:ascii="宋体" w:hAnsi="宋体" w:eastAsia="宋体" w:cs="Times New Roman"/>
          <w:b/>
          <w:sz w:val="32"/>
          <w:szCs w:val="32"/>
          <w:highlight w:val="none"/>
        </w:rPr>
        <w:tab/>
      </w:r>
      <w:r>
        <w:rPr>
          <w:rFonts w:ascii="宋体" w:hAnsi="宋体" w:eastAsia="宋体" w:cs="Times New Roman"/>
          <w:b/>
          <w:sz w:val="32"/>
          <w:szCs w:val="32"/>
          <w:highlight w:val="none"/>
        </w:rPr>
        <w:t>录</w:t>
      </w:r>
    </w:p>
    <w:sdt>
      <w:sdtPr>
        <w:rPr>
          <w:rFonts w:ascii="宋体" w:hAnsi="宋体" w:eastAsia="宋体" w:cstheme="minorBidi"/>
          <w:kern w:val="2"/>
          <w:sz w:val="21"/>
          <w:szCs w:val="22"/>
          <w:highlight w:val="none"/>
          <w:lang w:val="en-US" w:eastAsia="zh-CN" w:bidi="ar-SA"/>
        </w:rPr>
        <w:id w:val="147460106"/>
        <w15:color w:val="DBDBDB"/>
        <w:docPartObj>
          <w:docPartGallery w:val="Table of Contents"/>
          <w:docPartUnique/>
        </w:docPartObj>
      </w:sdtPr>
      <w:sdtEndPr>
        <w:rPr>
          <w:rFonts w:ascii="宋体" w:hAnsi="宋体" w:eastAsia="宋体" w:cstheme="minorBidi"/>
          <w:kern w:val="2"/>
          <w:sz w:val="21"/>
          <w:szCs w:val="22"/>
          <w:highlight w:val="none"/>
          <w:lang w:val="en-US" w:eastAsia="zh-CN" w:bidi="ar-SA"/>
        </w:rPr>
      </w:sdtEndPr>
      <w:sdtContent>
        <w:p w14:paraId="2BCFD2D1">
          <w:pPr>
            <w:spacing w:before="0" w:beforeLines="0" w:after="0" w:afterLines="0" w:line="240" w:lineRule="auto"/>
            <w:ind w:left="0" w:leftChars="0" w:right="0" w:rightChars="0" w:firstLine="0" w:firstLineChars="0"/>
            <w:jc w:val="center"/>
            <w:rPr>
              <w:highlight w:val="none"/>
            </w:rPr>
          </w:pPr>
        </w:p>
        <w:p w14:paraId="281EE074">
          <w:pPr>
            <w:pStyle w:val="16"/>
            <w:tabs>
              <w:tab w:val="right" w:leader="dot" w:pos="8890"/>
            </w:tabs>
            <w:rPr>
              <w:highlight w:val="none"/>
            </w:rPr>
          </w:pPr>
          <w:r>
            <w:rPr>
              <w:highlight w:val="none"/>
            </w:rPr>
            <w:fldChar w:fldCharType="begin"/>
          </w:r>
          <w:r>
            <w:rPr>
              <w:highlight w:val="none"/>
            </w:rPr>
            <w:instrText xml:space="preserve">TOC \o "1-1" \h \u </w:instrText>
          </w:r>
          <w:r>
            <w:rPr>
              <w:highlight w:val="none"/>
            </w:rPr>
            <w:fldChar w:fldCharType="separate"/>
          </w:r>
          <w:r>
            <w:rPr>
              <w:highlight w:val="none"/>
            </w:rPr>
            <w:fldChar w:fldCharType="begin"/>
          </w:r>
          <w:r>
            <w:rPr>
              <w:highlight w:val="none"/>
            </w:rPr>
            <w:instrText xml:space="preserve"> HYPERLINK \l _Toc860 </w:instrText>
          </w:r>
          <w:r>
            <w:rPr>
              <w:highlight w:val="none"/>
            </w:rPr>
            <w:fldChar w:fldCharType="separate"/>
          </w:r>
          <w:r>
            <w:rPr>
              <w:rFonts w:hint="eastAsia" w:ascii="华文中宋" w:hAnsi="华文中宋" w:eastAsia="华文中宋" w:cs="华文中宋"/>
              <w:bCs/>
              <w:kern w:val="44"/>
              <w:szCs w:val="44"/>
              <w:highlight w:val="none"/>
            </w:rPr>
            <w:t xml:space="preserve">第一章 </w:t>
          </w:r>
          <w:r>
            <w:rPr>
              <w:rFonts w:hint="eastAsia" w:ascii="华文中宋" w:hAnsi="华文中宋" w:eastAsia="华文中宋" w:cs="华文中宋"/>
              <w:bCs/>
              <w:kern w:val="44"/>
              <w:szCs w:val="44"/>
              <w:highlight w:val="none"/>
              <w:lang w:val="en-US" w:eastAsia="zh-CN"/>
            </w:rPr>
            <w:t>竞争性谈判公告</w:t>
          </w:r>
          <w:r>
            <w:rPr>
              <w:highlight w:val="none"/>
            </w:rPr>
            <w:tab/>
          </w:r>
          <w:r>
            <w:rPr>
              <w:highlight w:val="none"/>
            </w:rPr>
            <w:fldChar w:fldCharType="begin"/>
          </w:r>
          <w:r>
            <w:rPr>
              <w:highlight w:val="none"/>
            </w:rPr>
            <w:instrText xml:space="preserve"> PAGEREF _Toc860 \h </w:instrText>
          </w:r>
          <w:r>
            <w:rPr>
              <w:highlight w:val="none"/>
            </w:rPr>
            <w:fldChar w:fldCharType="separate"/>
          </w:r>
          <w:r>
            <w:rPr>
              <w:highlight w:val="none"/>
            </w:rPr>
            <w:t>1</w:t>
          </w:r>
          <w:r>
            <w:rPr>
              <w:highlight w:val="none"/>
            </w:rPr>
            <w:fldChar w:fldCharType="end"/>
          </w:r>
          <w:r>
            <w:rPr>
              <w:highlight w:val="none"/>
            </w:rPr>
            <w:fldChar w:fldCharType="end"/>
          </w:r>
        </w:p>
        <w:p w14:paraId="5B5AEE01">
          <w:pPr>
            <w:pStyle w:val="16"/>
            <w:tabs>
              <w:tab w:val="right" w:leader="dot" w:pos="8890"/>
            </w:tabs>
            <w:rPr>
              <w:highlight w:val="none"/>
            </w:rPr>
          </w:pPr>
          <w:r>
            <w:rPr>
              <w:highlight w:val="none"/>
            </w:rPr>
            <w:fldChar w:fldCharType="begin"/>
          </w:r>
          <w:r>
            <w:rPr>
              <w:highlight w:val="none"/>
            </w:rPr>
            <w:instrText xml:space="preserve"> HYPERLINK \l _Toc10396 </w:instrText>
          </w:r>
          <w:r>
            <w:rPr>
              <w:highlight w:val="none"/>
            </w:rPr>
            <w:fldChar w:fldCharType="separate"/>
          </w:r>
          <w:r>
            <w:rPr>
              <w:rFonts w:hint="eastAsia" w:ascii="华文中宋" w:hAnsi="华文中宋" w:eastAsia="华文中宋" w:cs="华文中宋"/>
              <w:bCs/>
              <w:kern w:val="44"/>
              <w:szCs w:val="44"/>
              <w:highlight w:val="none"/>
            </w:rPr>
            <w:t>第二章</w:t>
          </w:r>
          <w:r>
            <w:rPr>
              <w:rFonts w:hint="eastAsia" w:ascii="华文中宋" w:hAnsi="华文中宋" w:eastAsia="华文中宋" w:cs="华文中宋"/>
              <w:bCs/>
              <w:kern w:val="44"/>
              <w:szCs w:val="44"/>
              <w:highlight w:val="none"/>
              <w:lang w:val="en-US" w:eastAsia="zh-CN"/>
            </w:rPr>
            <w:t xml:space="preserve"> </w:t>
          </w:r>
          <w:r>
            <w:rPr>
              <w:rFonts w:hint="eastAsia" w:ascii="华文中宋" w:hAnsi="华文中宋" w:eastAsia="华文中宋" w:cs="华文中宋"/>
              <w:bCs/>
              <w:kern w:val="44"/>
              <w:szCs w:val="44"/>
              <w:highlight w:val="none"/>
            </w:rPr>
            <w:t>供应商须知</w:t>
          </w:r>
          <w:r>
            <w:rPr>
              <w:highlight w:val="none"/>
            </w:rPr>
            <w:tab/>
          </w:r>
          <w:r>
            <w:rPr>
              <w:highlight w:val="none"/>
            </w:rPr>
            <w:fldChar w:fldCharType="begin"/>
          </w:r>
          <w:r>
            <w:rPr>
              <w:highlight w:val="none"/>
            </w:rPr>
            <w:instrText xml:space="preserve"> PAGEREF _Toc10396 \h </w:instrText>
          </w:r>
          <w:r>
            <w:rPr>
              <w:highlight w:val="none"/>
            </w:rPr>
            <w:fldChar w:fldCharType="separate"/>
          </w:r>
          <w:r>
            <w:rPr>
              <w:highlight w:val="none"/>
            </w:rPr>
            <w:t>4</w:t>
          </w:r>
          <w:r>
            <w:rPr>
              <w:highlight w:val="none"/>
            </w:rPr>
            <w:fldChar w:fldCharType="end"/>
          </w:r>
          <w:r>
            <w:rPr>
              <w:highlight w:val="none"/>
            </w:rPr>
            <w:fldChar w:fldCharType="end"/>
          </w:r>
        </w:p>
        <w:p w14:paraId="365DEDCF">
          <w:pPr>
            <w:pStyle w:val="16"/>
            <w:tabs>
              <w:tab w:val="right" w:leader="dot" w:pos="8890"/>
            </w:tabs>
            <w:rPr>
              <w:highlight w:val="none"/>
            </w:rPr>
          </w:pPr>
          <w:r>
            <w:rPr>
              <w:highlight w:val="none"/>
            </w:rPr>
            <w:fldChar w:fldCharType="begin"/>
          </w:r>
          <w:r>
            <w:rPr>
              <w:highlight w:val="none"/>
            </w:rPr>
            <w:instrText xml:space="preserve"> HYPERLINK \l _Toc10976 </w:instrText>
          </w:r>
          <w:r>
            <w:rPr>
              <w:highlight w:val="none"/>
            </w:rPr>
            <w:fldChar w:fldCharType="separate"/>
          </w:r>
          <w:r>
            <w:rPr>
              <w:rFonts w:hint="eastAsia" w:ascii="华文中宋" w:hAnsi="华文中宋" w:eastAsia="华文中宋" w:cs="华文中宋"/>
              <w:bCs/>
              <w:kern w:val="44"/>
              <w:szCs w:val="44"/>
              <w:highlight w:val="none"/>
            </w:rPr>
            <w:t>第</w:t>
          </w:r>
          <w:r>
            <w:rPr>
              <w:rFonts w:hint="eastAsia" w:ascii="华文中宋" w:hAnsi="华文中宋" w:eastAsia="华文中宋" w:cs="华文中宋"/>
              <w:bCs/>
              <w:kern w:val="44"/>
              <w:szCs w:val="44"/>
              <w:highlight w:val="none"/>
              <w:lang w:val="en-US" w:eastAsia="zh-CN"/>
            </w:rPr>
            <w:t>三</w:t>
          </w:r>
          <w:r>
            <w:rPr>
              <w:rFonts w:hint="eastAsia" w:ascii="华文中宋" w:hAnsi="华文中宋" w:eastAsia="华文中宋" w:cs="华文中宋"/>
              <w:bCs/>
              <w:kern w:val="44"/>
              <w:szCs w:val="44"/>
              <w:highlight w:val="none"/>
            </w:rPr>
            <w:t>章</w:t>
          </w:r>
          <w:r>
            <w:rPr>
              <w:rFonts w:hint="eastAsia" w:ascii="华文中宋" w:hAnsi="华文中宋" w:eastAsia="华文中宋" w:cs="华文中宋"/>
              <w:bCs/>
              <w:kern w:val="44"/>
              <w:szCs w:val="44"/>
              <w:highlight w:val="none"/>
              <w:lang w:val="en-US" w:eastAsia="zh-CN"/>
            </w:rPr>
            <w:t xml:space="preserve"> 采购需求</w:t>
          </w:r>
          <w:r>
            <w:rPr>
              <w:highlight w:val="none"/>
            </w:rPr>
            <w:tab/>
          </w:r>
          <w:r>
            <w:rPr>
              <w:highlight w:val="none"/>
            </w:rPr>
            <w:fldChar w:fldCharType="begin"/>
          </w:r>
          <w:r>
            <w:rPr>
              <w:highlight w:val="none"/>
            </w:rPr>
            <w:instrText xml:space="preserve"> PAGEREF _Toc10976 \h </w:instrText>
          </w:r>
          <w:r>
            <w:rPr>
              <w:highlight w:val="none"/>
            </w:rPr>
            <w:fldChar w:fldCharType="separate"/>
          </w:r>
          <w:r>
            <w:rPr>
              <w:highlight w:val="none"/>
            </w:rPr>
            <w:t>13</w:t>
          </w:r>
          <w:r>
            <w:rPr>
              <w:highlight w:val="none"/>
            </w:rPr>
            <w:fldChar w:fldCharType="end"/>
          </w:r>
          <w:r>
            <w:rPr>
              <w:highlight w:val="none"/>
            </w:rPr>
            <w:fldChar w:fldCharType="end"/>
          </w:r>
        </w:p>
        <w:p w14:paraId="4D91E7E3">
          <w:pPr>
            <w:pStyle w:val="16"/>
            <w:tabs>
              <w:tab w:val="right" w:leader="dot" w:pos="8890"/>
            </w:tabs>
            <w:rPr>
              <w:highlight w:val="none"/>
            </w:rPr>
          </w:pPr>
          <w:r>
            <w:rPr>
              <w:highlight w:val="none"/>
            </w:rPr>
            <w:fldChar w:fldCharType="begin"/>
          </w:r>
          <w:r>
            <w:rPr>
              <w:highlight w:val="none"/>
            </w:rPr>
            <w:instrText xml:space="preserve"> HYPERLINK \l _Toc16699 </w:instrText>
          </w:r>
          <w:r>
            <w:rPr>
              <w:highlight w:val="none"/>
            </w:rPr>
            <w:fldChar w:fldCharType="separate"/>
          </w:r>
          <w:r>
            <w:rPr>
              <w:rFonts w:hint="eastAsia" w:ascii="华文中宋" w:hAnsi="华文中宋" w:eastAsia="华文中宋" w:cs="华文中宋"/>
              <w:bCs/>
              <w:kern w:val="44"/>
              <w:szCs w:val="44"/>
              <w:highlight w:val="none"/>
            </w:rPr>
            <w:t>第</w:t>
          </w:r>
          <w:r>
            <w:rPr>
              <w:rFonts w:hint="eastAsia" w:ascii="华文中宋" w:hAnsi="华文中宋" w:eastAsia="华文中宋" w:cs="华文中宋"/>
              <w:bCs/>
              <w:kern w:val="44"/>
              <w:szCs w:val="44"/>
              <w:highlight w:val="none"/>
              <w:lang w:val="en-US" w:eastAsia="zh-CN"/>
            </w:rPr>
            <w:t>四</w:t>
          </w:r>
          <w:r>
            <w:rPr>
              <w:rFonts w:hint="eastAsia" w:ascii="华文中宋" w:hAnsi="华文中宋" w:eastAsia="华文中宋" w:cs="华文中宋"/>
              <w:bCs/>
              <w:kern w:val="44"/>
              <w:szCs w:val="44"/>
              <w:highlight w:val="none"/>
            </w:rPr>
            <w:t>章</w:t>
          </w:r>
          <w:r>
            <w:rPr>
              <w:rFonts w:hint="eastAsia" w:ascii="华文中宋" w:hAnsi="华文中宋" w:eastAsia="华文中宋" w:cs="华文中宋"/>
              <w:bCs/>
              <w:kern w:val="44"/>
              <w:szCs w:val="44"/>
              <w:highlight w:val="none"/>
              <w:lang w:val="en-US" w:eastAsia="zh-CN"/>
            </w:rPr>
            <w:t xml:space="preserve"> </w:t>
          </w:r>
          <w:r>
            <w:rPr>
              <w:rFonts w:hint="eastAsia" w:ascii="华文中宋" w:hAnsi="华文中宋" w:eastAsia="华文中宋" w:cs="华文中宋"/>
              <w:bCs/>
              <w:kern w:val="44"/>
              <w:szCs w:val="44"/>
              <w:highlight w:val="none"/>
            </w:rPr>
            <w:t>评审方法和标准</w:t>
          </w:r>
          <w:r>
            <w:rPr>
              <w:highlight w:val="none"/>
            </w:rPr>
            <w:tab/>
          </w:r>
          <w:r>
            <w:rPr>
              <w:highlight w:val="none"/>
            </w:rPr>
            <w:fldChar w:fldCharType="begin"/>
          </w:r>
          <w:r>
            <w:rPr>
              <w:highlight w:val="none"/>
            </w:rPr>
            <w:instrText xml:space="preserve"> PAGEREF _Toc16699 \h </w:instrText>
          </w:r>
          <w:r>
            <w:rPr>
              <w:highlight w:val="none"/>
            </w:rPr>
            <w:fldChar w:fldCharType="separate"/>
          </w:r>
          <w:r>
            <w:rPr>
              <w:highlight w:val="none"/>
            </w:rPr>
            <w:t>16</w:t>
          </w:r>
          <w:r>
            <w:rPr>
              <w:highlight w:val="none"/>
            </w:rPr>
            <w:fldChar w:fldCharType="end"/>
          </w:r>
          <w:r>
            <w:rPr>
              <w:highlight w:val="none"/>
            </w:rPr>
            <w:fldChar w:fldCharType="end"/>
          </w:r>
        </w:p>
        <w:p w14:paraId="662A4072">
          <w:pPr>
            <w:pStyle w:val="16"/>
            <w:tabs>
              <w:tab w:val="right" w:leader="dot" w:pos="8890"/>
            </w:tabs>
            <w:rPr>
              <w:highlight w:val="none"/>
            </w:rPr>
          </w:pPr>
          <w:r>
            <w:rPr>
              <w:highlight w:val="none"/>
            </w:rPr>
            <w:fldChar w:fldCharType="begin"/>
          </w:r>
          <w:r>
            <w:rPr>
              <w:highlight w:val="none"/>
            </w:rPr>
            <w:instrText xml:space="preserve"> HYPERLINK \l _Toc3366 </w:instrText>
          </w:r>
          <w:r>
            <w:rPr>
              <w:highlight w:val="none"/>
            </w:rPr>
            <w:fldChar w:fldCharType="separate"/>
          </w:r>
          <w:r>
            <w:rPr>
              <w:rFonts w:hint="eastAsia" w:ascii="华文中宋" w:hAnsi="华文中宋" w:eastAsia="华文中宋" w:cs="华文中宋"/>
              <w:bCs/>
              <w:kern w:val="44"/>
              <w:szCs w:val="44"/>
              <w:highlight w:val="none"/>
            </w:rPr>
            <w:t>第</w:t>
          </w:r>
          <w:r>
            <w:rPr>
              <w:rFonts w:hint="eastAsia" w:ascii="华文中宋" w:hAnsi="华文中宋" w:eastAsia="华文中宋" w:cs="华文中宋"/>
              <w:bCs/>
              <w:kern w:val="44"/>
              <w:szCs w:val="44"/>
              <w:highlight w:val="none"/>
              <w:lang w:val="en-US" w:eastAsia="zh-CN"/>
            </w:rPr>
            <w:t>五</w:t>
          </w:r>
          <w:r>
            <w:rPr>
              <w:rFonts w:hint="eastAsia" w:ascii="华文中宋" w:hAnsi="华文中宋" w:eastAsia="华文中宋" w:cs="华文中宋"/>
              <w:bCs/>
              <w:kern w:val="44"/>
              <w:szCs w:val="44"/>
              <w:highlight w:val="none"/>
            </w:rPr>
            <w:t>章</w:t>
          </w:r>
          <w:r>
            <w:rPr>
              <w:rFonts w:hint="eastAsia" w:ascii="华文中宋" w:hAnsi="华文中宋" w:eastAsia="华文中宋" w:cs="华文中宋"/>
              <w:bCs/>
              <w:kern w:val="44"/>
              <w:szCs w:val="44"/>
              <w:highlight w:val="none"/>
              <w:lang w:val="en-US" w:eastAsia="zh-CN"/>
            </w:rPr>
            <w:t xml:space="preserve"> 合同文本</w:t>
          </w:r>
          <w:r>
            <w:rPr>
              <w:highlight w:val="none"/>
            </w:rPr>
            <w:tab/>
          </w:r>
          <w:r>
            <w:rPr>
              <w:highlight w:val="none"/>
            </w:rPr>
            <w:fldChar w:fldCharType="begin"/>
          </w:r>
          <w:r>
            <w:rPr>
              <w:highlight w:val="none"/>
            </w:rPr>
            <w:instrText xml:space="preserve"> PAGEREF _Toc3366 \h </w:instrText>
          </w:r>
          <w:r>
            <w:rPr>
              <w:highlight w:val="none"/>
            </w:rPr>
            <w:fldChar w:fldCharType="separate"/>
          </w:r>
          <w:r>
            <w:rPr>
              <w:highlight w:val="none"/>
            </w:rPr>
            <w:t>19</w:t>
          </w:r>
          <w:r>
            <w:rPr>
              <w:highlight w:val="none"/>
            </w:rPr>
            <w:fldChar w:fldCharType="end"/>
          </w:r>
          <w:r>
            <w:rPr>
              <w:highlight w:val="none"/>
            </w:rPr>
            <w:fldChar w:fldCharType="end"/>
          </w:r>
        </w:p>
        <w:p w14:paraId="2B2B7A56">
          <w:pPr>
            <w:pStyle w:val="16"/>
            <w:tabs>
              <w:tab w:val="right" w:leader="dot" w:pos="8890"/>
            </w:tabs>
            <w:rPr>
              <w:highlight w:val="none"/>
            </w:rPr>
          </w:pPr>
          <w:r>
            <w:rPr>
              <w:highlight w:val="none"/>
            </w:rPr>
            <w:fldChar w:fldCharType="begin"/>
          </w:r>
          <w:r>
            <w:rPr>
              <w:highlight w:val="none"/>
            </w:rPr>
            <w:instrText xml:space="preserve"> HYPERLINK \l _Toc4067 </w:instrText>
          </w:r>
          <w:r>
            <w:rPr>
              <w:highlight w:val="none"/>
            </w:rPr>
            <w:fldChar w:fldCharType="separate"/>
          </w:r>
          <w:r>
            <w:rPr>
              <w:rFonts w:hint="eastAsia" w:ascii="华文中宋" w:hAnsi="华文中宋" w:eastAsia="华文中宋" w:cs="华文中宋"/>
              <w:bCs/>
              <w:kern w:val="44"/>
              <w:szCs w:val="44"/>
              <w:highlight w:val="none"/>
            </w:rPr>
            <w:t>第</w:t>
          </w:r>
          <w:r>
            <w:rPr>
              <w:rFonts w:hint="eastAsia" w:ascii="华文中宋" w:hAnsi="华文中宋" w:eastAsia="华文中宋" w:cs="华文中宋"/>
              <w:bCs/>
              <w:kern w:val="44"/>
              <w:szCs w:val="44"/>
              <w:highlight w:val="none"/>
              <w:lang w:val="en-US" w:eastAsia="zh-CN"/>
            </w:rPr>
            <w:t>六</w:t>
          </w:r>
          <w:r>
            <w:rPr>
              <w:rFonts w:hint="eastAsia" w:ascii="华文中宋" w:hAnsi="华文中宋" w:eastAsia="华文中宋" w:cs="华文中宋"/>
              <w:bCs/>
              <w:kern w:val="44"/>
              <w:szCs w:val="44"/>
              <w:highlight w:val="none"/>
            </w:rPr>
            <w:t>章</w:t>
          </w:r>
          <w:r>
            <w:rPr>
              <w:rFonts w:hint="eastAsia" w:ascii="华文中宋" w:hAnsi="华文中宋" w:eastAsia="华文中宋" w:cs="华文中宋"/>
              <w:bCs/>
              <w:kern w:val="44"/>
              <w:szCs w:val="44"/>
              <w:highlight w:val="none"/>
              <w:lang w:val="en-US" w:eastAsia="zh-CN"/>
            </w:rPr>
            <w:t xml:space="preserve"> </w:t>
          </w:r>
          <w:r>
            <w:rPr>
              <w:rFonts w:hint="eastAsia" w:ascii="华文中宋" w:hAnsi="华文中宋" w:eastAsia="华文中宋" w:cs="华文中宋"/>
              <w:bCs/>
              <w:kern w:val="44"/>
              <w:szCs w:val="44"/>
              <w:highlight w:val="none"/>
            </w:rPr>
            <w:t>响应文件格式</w:t>
          </w:r>
          <w:r>
            <w:rPr>
              <w:highlight w:val="none"/>
            </w:rPr>
            <w:tab/>
          </w:r>
          <w:r>
            <w:rPr>
              <w:highlight w:val="none"/>
            </w:rPr>
            <w:fldChar w:fldCharType="begin"/>
          </w:r>
          <w:r>
            <w:rPr>
              <w:highlight w:val="none"/>
            </w:rPr>
            <w:instrText xml:space="preserve"> PAGEREF _Toc4067 \h </w:instrText>
          </w:r>
          <w:r>
            <w:rPr>
              <w:highlight w:val="none"/>
            </w:rPr>
            <w:fldChar w:fldCharType="separate"/>
          </w:r>
          <w:r>
            <w:rPr>
              <w:highlight w:val="none"/>
            </w:rPr>
            <w:t>27</w:t>
          </w:r>
          <w:r>
            <w:rPr>
              <w:highlight w:val="none"/>
            </w:rPr>
            <w:fldChar w:fldCharType="end"/>
          </w:r>
          <w:r>
            <w:rPr>
              <w:highlight w:val="none"/>
            </w:rPr>
            <w:fldChar w:fldCharType="end"/>
          </w:r>
        </w:p>
        <w:p w14:paraId="7D181C34">
          <w:pPr>
            <w:pStyle w:val="16"/>
            <w:tabs>
              <w:tab w:val="right" w:leader="dot" w:pos="8890"/>
            </w:tabs>
            <w:rPr>
              <w:highlight w:val="none"/>
            </w:rPr>
          </w:pPr>
          <w:r>
            <w:rPr>
              <w:highlight w:val="none"/>
            </w:rPr>
            <w:fldChar w:fldCharType="begin"/>
          </w:r>
          <w:r>
            <w:rPr>
              <w:highlight w:val="none"/>
            </w:rPr>
            <w:instrText xml:space="preserve"> HYPERLINK \l _Toc32207 </w:instrText>
          </w:r>
          <w:r>
            <w:rPr>
              <w:highlight w:val="none"/>
            </w:rPr>
            <w:fldChar w:fldCharType="separate"/>
          </w:r>
          <w:r>
            <w:rPr>
              <w:rFonts w:hint="eastAsia" w:ascii="华文中宋" w:hAnsi="华文中宋" w:eastAsia="华文中宋" w:cs="华文中宋"/>
              <w:bCs/>
              <w:kern w:val="44"/>
              <w:szCs w:val="44"/>
              <w:highlight w:val="none"/>
              <w:lang w:val="en-US" w:eastAsia="zh-CN"/>
            </w:rPr>
            <w:t>第七章 采购供应商询问函和质疑函范本</w:t>
          </w:r>
          <w:r>
            <w:rPr>
              <w:highlight w:val="none"/>
            </w:rPr>
            <w:tab/>
          </w:r>
          <w:r>
            <w:rPr>
              <w:highlight w:val="none"/>
            </w:rPr>
            <w:fldChar w:fldCharType="begin"/>
          </w:r>
          <w:r>
            <w:rPr>
              <w:highlight w:val="none"/>
            </w:rPr>
            <w:instrText xml:space="preserve"> PAGEREF _Toc32207 \h </w:instrText>
          </w:r>
          <w:r>
            <w:rPr>
              <w:highlight w:val="none"/>
            </w:rPr>
            <w:fldChar w:fldCharType="separate"/>
          </w:r>
          <w:r>
            <w:rPr>
              <w:highlight w:val="none"/>
            </w:rPr>
            <w:t>37</w:t>
          </w:r>
          <w:r>
            <w:rPr>
              <w:highlight w:val="none"/>
            </w:rPr>
            <w:fldChar w:fldCharType="end"/>
          </w:r>
          <w:r>
            <w:rPr>
              <w:highlight w:val="none"/>
            </w:rPr>
            <w:fldChar w:fldCharType="end"/>
          </w:r>
        </w:p>
        <w:p w14:paraId="36444B03">
          <w:pPr>
            <w:rPr>
              <w:highlight w:val="none"/>
            </w:rPr>
          </w:pPr>
          <w:r>
            <w:rPr>
              <w:highlight w:val="none"/>
            </w:rPr>
            <w:fldChar w:fldCharType="end"/>
          </w:r>
        </w:p>
      </w:sdtContent>
    </w:sdt>
    <w:p w14:paraId="5742A724">
      <w:pPr>
        <w:widowControl/>
        <w:jc w:val="left"/>
        <w:rPr>
          <w:rFonts w:ascii="宋体" w:hAnsi="宋体" w:eastAsia="宋体" w:cs="Times New Roman"/>
          <w:szCs w:val="21"/>
          <w:highlight w:val="none"/>
        </w:rPr>
        <w:sectPr>
          <w:footerReference r:id="rId5" w:type="default"/>
          <w:pgSz w:w="11910" w:h="16850"/>
          <w:pgMar w:top="1400" w:right="1440" w:bottom="1320" w:left="1580" w:header="877" w:footer="1126" w:gutter="0"/>
          <w:pgNumType w:fmt="decimal"/>
          <w:cols w:space="720" w:num="1"/>
        </w:sectPr>
      </w:pPr>
    </w:p>
    <w:p w14:paraId="5A7FC814">
      <w:pPr>
        <w:widowControl/>
        <w:jc w:val="left"/>
        <w:rPr>
          <w:rFonts w:ascii="宋体" w:hAnsi="宋体" w:eastAsia="宋体" w:cs="Times New Roman"/>
          <w:szCs w:val="21"/>
          <w:highlight w:val="none"/>
        </w:rPr>
      </w:pPr>
    </w:p>
    <w:p w14:paraId="6AB37441">
      <w:pPr>
        <w:keepNext/>
        <w:keepLines/>
        <w:tabs>
          <w:tab w:val="left" w:pos="0"/>
        </w:tabs>
        <w:autoSpaceDE w:val="0"/>
        <w:autoSpaceDN w:val="0"/>
        <w:adjustRightInd w:val="0"/>
        <w:spacing w:line="360" w:lineRule="auto"/>
        <w:jc w:val="center"/>
        <w:outlineLvl w:val="0"/>
        <w:rPr>
          <w:rFonts w:hint="default" w:ascii="华文中宋" w:hAnsi="华文中宋" w:eastAsia="华文中宋" w:cs="华文中宋"/>
          <w:b/>
          <w:bCs/>
          <w:kern w:val="44"/>
          <w:sz w:val="44"/>
          <w:szCs w:val="44"/>
          <w:highlight w:val="none"/>
          <w:lang w:val="en-US"/>
        </w:rPr>
      </w:pPr>
      <w:bookmarkStart w:id="0" w:name="_Toc860"/>
      <w:r>
        <w:rPr>
          <w:rFonts w:hint="eastAsia" w:ascii="华文中宋" w:hAnsi="华文中宋" w:eastAsia="华文中宋" w:cs="华文中宋"/>
          <w:b/>
          <w:bCs/>
          <w:kern w:val="44"/>
          <w:sz w:val="44"/>
          <w:szCs w:val="44"/>
          <w:highlight w:val="none"/>
        </w:rPr>
        <w:t xml:space="preserve">第一章 </w:t>
      </w:r>
      <w:r>
        <w:rPr>
          <w:rFonts w:hint="eastAsia" w:ascii="华文中宋" w:hAnsi="华文中宋" w:eastAsia="华文中宋" w:cs="华文中宋"/>
          <w:b/>
          <w:bCs/>
          <w:kern w:val="44"/>
          <w:sz w:val="44"/>
          <w:szCs w:val="44"/>
          <w:highlight w:val="none"/>
          <w:lang w:val="en-US" w:eastAsia="zh-CN"/>
        </w:rPr>
        <w:t>竞争性谈判公告</w:t>
      </w:r>
      <w:bookmarkEnd w:id="0"/>
    </w:p>
    <w:p w14:paraId="69D307E9">
      <w:pPr>
        <w:keepNext/>
        <w:keepLines/>
        <w:spacing w:before="260" w:after="260" w:line="360" w:lineRule="auto"/>
        <w:ind w:firstLine="560" w:firstLineChars="200"/>
        <w:outlineLvl w:val="1"/>
        <w:rPr>
          <w:rFonts w:ascii="黑体" w:hAnsi="黑体" w:eastAsia="黑体" w:cs="Times New Roman"/>
          <w:bCs/>
          <w:sz w:val="28"/>
          <w:szCs w:val="28"/>
          <w:highlight w:val="none"/>
        </w:rPr>
      </w:pPr>
      <w:r>
        <w:rPr>
          <w:rFonts w:hint="eastAsia" w:ascii="黑体" w:hAnsi="黑体" w:eastAsia="黑体" w:cs="Times New Roman"/>
          <w:bCs/>
          <w:sz w:val="28"/>
          <w:szCs w:val="28"/>
          <w:highlight w:val="none"/>
        </w:rPr>
        <w:t>项目概况</w:t>
      </w:r>
    </w:p>
    <w:p w14:paraId="3FB43B82">
      <w:pPr>
        <w:ind w:firstLine="560" w:firstLineChars="200"/>
        <w:rPr>
          <w:rFonts w:ascii="Times New Roman" w:hAnsi="Times New Roman" w:eastAsia="宋体" w:cs="Times New Roman"/>
          <w:szCs w:val="21"/>
          <w:highlight w:val="none"/>
        </w:rPr>
      </w:pPr>
      <w:r>
        <w:rPr>
          <w:rFonts w:hint="eastAsia" w:ascii="仿宋" w:hAnsi="仿宋" w:eastAsia="仿宋" w:cs="仿宋"/>
          <w:bCs/>
          <w:sz w:val="28"/>
          <w:szCs w:val="28"/>
          <w:highlight w:val="none"/>
          <w:lang w:val="en-US" w:eastAsia="zh-CN"/>
        </w:rPr>
        <w:t>阜阳建投物业服务有限公司通过竞争性谈判的方式采购</w:t>
      </w:r>
      <w:r>
        <w:rPr>
          <w:rFonts w:hint="eastAsia" w:ascii="仿宋" w:hAnsi="仿宋" w:eastAsia="仿宋" w:cs="Times New Roman"/>
          <w:sz w:val="28"/>
          <w:szCs w:val="28"/>
          <w:highlight w:val="none"/>
          <w:lang w:eastAsia="zh-CN"/>
        </w:rPr>
        <w:t>园林绿化</w:t>
      </w:r>
      <w:r>
        <w:rPr>
          <w:rFonts w:hint="eastAsia" w:ascii="仿宋" w:hAnsi="仿宋" w:eastAsia="仿宋" w:cs="仿宋"/>
          <w:bCs/>
          <w:sz w:val="28"/>
          <w:szCs w:val="28"/>
          <w:highlight w:val="none"/>
          <w:u w:val="none"/>
          <w:lang w:val="en-US" w:eastAsia="zh-CN"/>
        </w:rPr>
        <w:t>涂白剂、保温棉、</w:t>
      </w:r>
      <w:r>
        <w:rPr>
          <w:rFonts w:hint="eastAsia" w:ascii="仿宋" w:hAnsi="仿宋" w:eastAsia="仿宋" w:cs="Times New Roman"/>
          <w:sz w:val="28"/>
          <w:szCs w:val="28"/>
          <w:highlight w:val="none"/>
          <w:u w:val="none"/>
          <w:lang w:val="en-US" w:eastAsia="zh-CN"/>
        </w:rPr>
        <w:t>保</w:t>
      </w:r>
      <w:r>
        <w:rPr>
          <w:rFonts w:hint="eastAsia" w:ascii="仿宋" w:hAnsi="仿宋" w:eastAsia="仿宋" w:cs="Times New Roman"/>
          <w:sz w:val="28"/>
          <w:szCs w:val="28"/>
          <w:highlight w:val="none"/>
          <w:lang w:val="en-US" w:eastAsia="zh-CN"/>
        </w:rPr>
        <w:t>温膜项目</w:t>
      </w:r>
      <w:r>
        <w:rPr>
          <w:rFonts w:hint="eastAsia" w:ascii="仿宋" w:hAnsi="仿宋" w:eastAsia="仿宋" w:cs="仿宋"/>
          <w:bCs/>
          <w:sz w:val="28"/>
          <w:szCs w:val="28"/>
          <w:highlight w:val="none"/>
          <w:lang w:val="en-US" w:eastAsia="zh-CN"/>
        </w:rPr>
        <w:t>，各响应单位需于</w:t>
      </w:r>
      <w:r>
        <w:rPr>
          <w:rFonts w:hint="eastAsia" w:ascii="仿宋" w:hAnsi="仿宋" w:eastAsia="仿宋" w:cs="仿宋"/>
          <w:bCs/>
          <w:sz w:val="28"/>
          <w:szCs w:val="28"/>
          <w:highlight w:val="none"/>
          <w:u w:val="single"/>
          <w:lang w:val="en-US" w:eastAsia="zh-CN"/>
        </w:rPr>
        <w:t>2026年10月XX日10点00分（</w:t>
      </w:r>
      <w:r>
        <w:rPr>
          <w:rFonts w:hint="eastAsia" w:ascii="仿宋" w:hAnsi="仿宋" w:eastAsia="仿宋" w:cs="仿宋"/>
          <w:bCs/>
          <w:sz w:val="28"/>
          <w:szCs w:val="28"/>
          <w:highlight w:val="none"/>
          <w:lang w:val="en-US" w:eastAsia="zh-CN"/>
        </w:rPr>
        <w:t>北京时间）前提</w:t>
      </w:r>
      <w:r>
        <w:rPr>
          <w:rFonts w:hint="eastAsia" w:ascii="仿宋" w:hAnsi="仿宋" w:eastAsia="仿宋" w:cs="仿宋"/>
          <w:bCs/>
          <w:sz w:val="28"/>
          <w:szCs w:val="28"/>
          <w:highlight w:val="none"/>
        </w:rPr>
        <w:t>交响应文件。</w:t>
      </w:r>
    </w:p>
    <w:p w14:paraId="055FA1F7">
      <w:pPr>
        <w:keepNext/>
        <w:keepLines/>
        <w:spacing w:before="260" w:after="260" w:line="360" w:lineRule="auto"/>
        <w:outlineLvl w:val="1"/>
        <w:rPr>
          <w:rFonts w:ascii="黑体" w:hAnsi="黑体" w:eastAsia="黑体" w:cs="宋体"/>
          <w:bCs/>
          <w:sz w:val="28"/>
          <w:szCs w:val="28"/>
          <w:highlight w:val="none"/>
        </w:rPr>
      </w:pPr>
      <w:bookmarkStart w:id="1" w:name="_Toc35393629"/>
      <w:bookmarkStart w:id="2" w:name="_Toc35393798"/>
      <w:bookmarkStart w:id="3" w:name="_Toc28359089"/>
      <w:bookmarkStart w:id="4" w:name="_Toc28359012"/>
      <w:r>
        <w:rPr>
          <w:rFonts w:hint="eastAsia" w:ascii="黑体" w:hAnsi="黑体" w:eastAsia="黑体" w:cs="宋体"/>
          <w:bCs/>
          <w:sz w:val="28"/>
          <w:szCs w:val="28"/>
          <w:highlight w:val="none"/>
        </w:rPr>
        <w:t>一、项目基本情况</w:t>
      </w:r>
      <w:bookmarkEnd w:id="1"/>
      <w:bookmarkEnd w:id="2"/>
      <w:bookmarkEnd w:id="3"/>
      <w:bookmarkEnd w:id="4"/>
    </w:p>
    <w:p w14:paraId="2133E0B2">
      <w:pPr>
        <w:ind w:left="0" w:leftChars="0"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1.项目编号：FYJTLC-ZB-2026-14。</w:t>
      </w:r>
    </w:p>
    <w:p w14:paraId="6E284158">
      <w:pPr>
        <w:ind w:left="0" w:leftChars="0" w:firstLine="560" w:firstLineChars="200"/>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2.项目名称：阜阳建投物业服务有限公司2026年度园林绿化涂白剂、保温棉、保温膜采购项目。</w:t>
      </w:r>
    </w:p>
    <w:p w14:paraId="40D518C0">
      <w:pPr>
        <w:ind w:left="0" w:leftChars="0"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3.包别划分：两个包段，包1：涂白剂；包2：保温棉、保温膜。（投标人可同时参与2个标段的投标，可同时中标2个标段）。</w:t>
      </w:r>
    </w:p>
    <w:p w14:paraId="1381E3A7">
      <w:pPr>
        <w:ind w:left="0" w:leftChars="0"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4.需求简介：拟为阜阳建投物业服务有限公司园林绿化部采购一批涂白剂、保温棉、保温膜，分批次供货，质量不低于国家规范规定合格标准，一次性验收合格。各包段报价须含生产、包装、分批次配送、运输、装卸、质保、合同期内涨价风险、保险、利润及税收等一切费用。具体详见采购文件。</w:t>
      </w:r>
    </w:p>
    <w:p w14:paraId="49FC9AB1">
      <w:pPr>
        <w:ind w:left="0" w:leftChars="0"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包1：涂白剂，数量暂定127吨；</w:t>
      </w:r>
    </w:p>
    <w:p w14:paraId="5CCE8AA0">
      <w:pPr>
        <w:ind w:left="0" w:leftChars="0" w:firstLine="560" w:firstLineChars="200"/>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包2：保温棉，数量暂定600袋；保温膜，数量暂定1470卷。</w:t>
      </w:r>
    </w:p>
    <w:p w14:paraId="104747F8">
      <w:pPr>
        <w:ind w:firstLine="560" w:firstLineChars="200"/>
        <w:rPr>
          <w:rFonts w:ascii="仿宋" w:hAnsi="仿宋" w:eastAsia="仿宋" w:cs="Times New Roman"/>
          <w:sz w:val="28"/>
          <w:szCs w:val="28"/>
          <w:highlight w:val="none"/>
        </w:rPr>
      </w:pPr>
      <w:r>
        <w:rPr>
          <w:rFonts w:hint="eastAsia" w:ascii="仿宋" w:hAnsi="仿宋" w:eastAsia="仿宋" w:cs="Times New Roman"/>
          <w:sz w:val="28"/>
          <w:szCs w:val="28"/>
          <w:highlight w:val="none"/>
          <w:lang w:val="en-US" w:eastAsia="zh-CN"/>
        </w:rPr>
        <w:t>5.</w:t>
      </w:r>
      <w:r>
        <w:rPr>
          <w:rFonts w:hint="eastAsia" w:ascii="仿宋" w:hAnsi="仿宋" w:eastAsia="仿宋" w:cs="Times New Roman"/>
          <w:sz w:val="28"/>
          <w:szCs w:val="28"/>
          <w:highlight w:val="none"/>
        </w:rPr>
        <w:t>采购方式：</w:t>
      </w:r>
      <w:r>
        <w:rPr>
          <w:rFonts w:hint="eastAsia" w:ascii="仿宋" w:hAnsi="仿宋" w:eastAsia="仿宋" w:cs="Times New Roman"/>
          <w:sz w:val="28"/>
          <w:szCs w:val="28"/>
          <w:highlight w:val="none"/>
          <w:lang w:eastAsia="zh-CN"/>
        </w:rPr>
        <w:t>☑</w:t>
      </w:r>
      <w:r>
        <w:rPr>
          <w:rFonts w:hint="eastAsia" w:ascii="仿宋" w:hAnsi="仿宋" w:eastAsia="仿宋" w:cs="Times New Roman"/>
          <w:sz w:val="28"/>
          <w:szCs w:val="28"/>
          <w:highlight w:val="none"/>
        </w:rPr>
        <w:t xml:space="preserve">竞争性谈判 □竞争性磋商 </w:t>
      </w:r>
      <w:r>
        <w:rPr>
          <w:rFonts w:hint="eastAsia" w:ascii="Segoe UI Symbol" w:hAnsi="Segoe UI Symbol" w:eastAsia="仿宋" w:cs="Segoe UI Symbol"/>
          <w:sz w:val="28"/>
          <w:szCs w:val="28"/>
          <w:highlight w:val="none"/>
          <w:lang w:eastAsia="zh-CN"/>
        </w:rPr>
        <w:t>□</w:t>
      </w:r>
      <w:r>
        <w:rPr>
          <w:rFonts w:hint="eastAsia" w:ascii="仿宋" w:hAnsi="仿宋" w:eastAsia="仿宋" w:cs="Times New Roman"/>
          <w:sz w:val="28"/>
          <w:szCs w:val="28"/>
          <w:highlight w:val="none"/>
        </w:rPr>
        <w:t>询价</w:t>
      </w:r>
    </w:p>
    <w:p w14:paraId="60A5FCD8">
      <w:pPr>
        <w:ind w:left="0" w:leftChars="0"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6.项目预算：</w:t>
      </w:r>
      <w:r>
        <w:rPr>
          <w:rFonts w:hint="default" w:ascii="仿宋" w:hAnsi="仿宋" w:eastAsia="仿宋" w:cs="Times New Roman"/>
          <w:sz w:val="28"/>
          <w:szCs w:val="28"/>
          <w:highlight w:val="none"/>
          <w:lang w:eastAsia="zh-CN"/>
        </w:rPr>
        <w:fldChar w:fldCharType="begin"/>
      </w:r>
      <w:r>
        <w:rPr>
          <w:rFonts w:hint="default" w:ascii="仿宋" w:hAnsi="仿宋" w:eastAsia="仿宋" w:cs="Times New Roman"/>
          <w:sz w:val="28"/>
          <w:szCs w:val="28"/>
          <w:highlight w:val="none"/>
          <w:lang w:eastAsia="zh-CN"/>
        </w:rPr>
        <w:instrText xml:space="preserve"> = 379740 \# "#,##0" </w:instrText>
      </w:r>
      <w:r>
        <w:rPr>
          <w:rFonts w:hint="default" w:ascii="仿宋" w:hAnsi="仿宋" w:eastAsia="仿宋" w:cs="Times New Roman"/>
          <w:sz w:val="28"/>
          <w:szCs w:val="28"/>
          <w:highlight w:val="none"/>
          <w:lang w:eastAsia="zh-CN"/>
        </w:rPr>
        <w:fldChar w:fldCharType="separate"/>
      </w:r>
      <w:r>
        <w:rPr>
          <w:rFonts w:hint="eastAsia" w:ascii="仿宋" w:hAnsi="仿宋" w:eastAsia="仿宋" w:cs="Times New Roman"/>
          <w:sz w:val="28"/>
          <w:szCs w:val="28"/>
          <w:highlight w:val="none"/>
          <w:lang w:eastAsia="zh-CN"/>
        </w:rPr>
        <w:t>4</w:t>
      </w:r>
      <w:r>
        <w:rPr>
          <w:rFonts w:hint="eastAsia" w:ascii="仿宋" w:hAnsi="仿宋" w:eastAsia="仿宋" w:cs="Times New Roman"/>
          <w:sz w:val="28"/>
          <w:szCs w:val="28"/>
          <w:highlight w:val="none"/>
          <w:lang w:val="en-US" w:eastAsia="zh-CN"/>
        </w:rPr>
        <w:t>05</w:t>
      </w:r>
      <w:r>
        <w:rPr>
          <w:rFonts w:hint="eastAsia" w:ascii="仿宋" w:hAnsi="仿宋" w:eastAsia="仿宋" w:cs="Times New Roman"/>
          <w:sz w:val="28"/>
          <w:szCs w:val="28"/>
          <w:highlight w:val="none"/>
          <w:lang w:eastAsia="zh-CN"/>
        </w:rPr>
        <w:t>,</w:t>
      </w:r>
      <w:r>
        <w:rPr>
          <w:rFonts w:hint="eastAsia" w:ascii="仿宋" w:hAnsi="仿宋" w:eastAsia="仿宋" w:cs="Times New Roman"/>
          <w:sz w:val="28"/>
          <w:szCs w:val="28"/>
          <w:highlight w:val="none"/>
          <w:lang w:val="en-US" w:eastAsia="zh-CN"/>
        </w:rPr>
        <w:t>710</w:t>
      </w:r>
      <w:r>
        <w:rPr>
          <w:rFonts w:hint="default" w:ascii="仿宋" w:hAnsi="仿宋" w:eastAsia="仿宋" w:cs="Times New Roman"/>
          <w:sz w:val="28"/>
          <w:szCs w:val="28"/>
          <w:highlight w:val="none"/>
          <w:lang w:eastAsia="zh-CN"/>
        </w:rPr>
        <w:fldChar w:fldCharType="end"/>
      </w:r>
      <w:r>
        <w:rPr>
          <w:rFonts w:hint="eastAsia" w:ascii="仿宋" w:hAnsi="仿宋" w:eastAsia="仿宋" w:cs="Times New Roman"/>
          <w:sz w:val="28"/>
          <w:szCs w:val="28"/>
          <w:highlight w:val="none"/>
          <w:lang w:val="en-US" w:eastAsia="zh-CN"/>
        </w:rPr>
        <w:t>元（含税），其中包1：</w:t>
      </w:r>
      <w:r>
        <w:rPr>
          <w:rFonts w:hint="default" w:ascii="仿宋" w:hAnsi="仿宋" w:eastAsia="仿宋" w:cs="Times New Roman"/>
          <w:sz w:val="28"/>
          <w:szCs w:val="28"/>
          <w:highlight w:val="none"/>
          <w:lang w:eastAsia="zh-CN"/>
        </w:rPr>
        <w:fldChar w:fldCharType="begin"/>
      </w:r>
      <w:r>
        <w:rPr>
          <w:rFonts w:hint="default" w:ascii="仿宋" w:hAnsi="仿宋" w:eastAsia="仿宋" w:cs="Times New Roman"/>
          <w:sz w:val="28"/>
          <w:szCs w:val="28"/>
          <w:highlight w:val="none"/>
          <w:lang w:eastAsia="zh-CN"/>
        </w:rPr>
        <w:instrText xml:space="preserve"> = 167640 \# "#,##0" </w:instrText>
      </w:r>
      <w:r>
        <w:rPr>
          <w:rFonts w:hint="default" w:ascii="仿宋" w:hAnsi="仿宋" w:eastAsia="仿宋" w:cs="Times New Roman"/>
          <w:sz w:val="28"/>
          <w:szCs w:val="28"/>
          <w:highlight w:val="none"/>
          <w:lang w:eastAsia="zh-CN"/>
        </w:rPr>
        <w:fldChar w:fldCharType="separate"/>
      </w:r>
      <w:r>
        <w:rPr>
          <w:rFonts w:hint="eastAsia" w:ascii="仿宋" w:hAnsi="仿宋" w:eastAsia="仿宋" w:cs="Times New Roman"/>
          <w:sz w:val="28"/>
          <w:szCs w:val="28"/>
          <w:highlight w:val="none"/>
          <w:lang w:eastAsia="zh-CN"/>
        </w:rPr>
        <w:t>181,610</w:t>
      </w:r>
      <w:r>
        <w:rPr>
          <w:rFonts w:hint="default" w:ascii="仿宋" w:hAnsi="仿宋" w:eastAsia="仿宋" w:cs="Times New Roman"/>
          <w:sz w:val="28"/>
          <w:szCs w:val="28"/>
          <w:highlight w:val="none"/>
          <w:lang w:eastAsia="zh-CN"/>
        </w:rPr>
        <w:fldChar w:fldCharType="end"/>
      </w:r>
      <w:r>
        <w:rPr>
          <w:rFonts w:hint="eastAsia" w:ascii="仿宋" w:hAnsi="仿宋" w:eastAsia="仿宋" w:cs="Times New Roman"/>
          <w:sz w:val="28"/>
          <w:szCs w:val="28"/>
          <w:highlight w:val="none"/>
          <w:lang w:val="en-US" w:eastAsia="zh-CN"/>
        </w:rPr>
        <w:t>元，包2：</w:t>
      </w:r>
      <w:r>
        <w:rPr>
          <w:rFonts w:hint="default" w:ascii="仿宋" w:hAnsi="仿宋" w:eastAsia="仿宋" w:cs="Times New Roman"/>
          <w:sz w:val="28"/>
          <w:szCs w:val="28"/>
          <w:highlight w:val="none"/>
          <w:lang w:eastAsia="zh-CN"/>
        </w:rPr>
        <w:fldChar w:fldCharType="begin"/>
      </w:r>
      <w:r>
        <w:rPr>
          <w:rFonts w:hint="default" w:ascii="仿宋" w:hAnsi="仿宋" w:eastAsia="仿宋" w:cs="Times New Roman"/>
          <w:sz w:val="28"/>
          <w:szCs w:val="28"/>
          <w:highlight w:val="none"/>
          <w:lang w:eastAsia="zh-CN"/>
        </w:rPr>
        <w:instrText xml:space="preserve"> = 242100 \# "#,##0" </w:instrText>
      </w:r>
      <w:r>
        <w:rPr>
          <w:rFonts w:hint="default" w:ascii="仿宋" w:hAnsi="仿宋" w:eastAsia="仿宋" w:cs="Times New Roman"/>
          <w:sz w:val="28"/>
          <w:szCs w:val="28"/>
          <w:highlight w:val="none"/>
          <w:lang w:eastAsia="zh-CN"/>
        </w:rPr>
        <w:fldChar w:fldCharType="separate"/>
      </w:r>
      <w:r>
        <w:rPr>
          <w:rFonts w:hint="default" w:ascii="仿宋" w:hAnsi="仿宋" w:eastAsia="仿宋" w:cs="Times New Roman"/>
          <w:sz w:val="28"/>
          <w:szCs w:val="28"/>
          <w:highlight w:val="none"/>
          <w:lang w:eastAsia="zh-CN"/>
        </w:rPr>
        <w:t>2</w:t>
      </w:r>
      <w:r>
        <w:rPr>
          <w:rFonts w:hint="eastAsia" w:ascii="仿宋" w:hAnsi="仿宋" w:eastAsia="仿宋" w:cs="Times New Roman"/>
          <w:sz w:val="28"/>
          <w:szCs w:val="28"/>
          <w:highlight w:val="none"/>
          <w:lang w:val="en-US" w:eastAsia="zh-CN"/>
        </w:rPr>
        <w:t>24</w:t>
      </w:r>
      <w:r>
        <w:rPr>
          <w:rFonts w:hint="default" w:ascii="仿宋" w:hAnsi="仿宋" w:eastAsia="仿宋" w:cs="Times New Roman"/>
          <w:sz w:val="28"/>
          <w:szCs w:val="28"/>
          <w:highlight w:val="none"/>
          <w:lang w:eastAsia="zh-CN"/>
        </w:rPr>
        <w:t>,100</w:t>
      </w:r>
      <w:r>
        <w:rPr>
          <w:rFonts w:hint="default" w:ascii="仿宋" w:hAnsi="仿宋" w:eastAsia="仿宋" w:cs="Times New Roman"/>
          <w:sz w:val="28"/>
          <w:szCs w:val="28"/>
          <w:highlight w:val="none"/>
          <w:lang w:eastAsia="zh-CN"/>
        </w:rPr>
        <w:fldChar w:fldCharType="end"/>
      </w:r>
      <w:r>
        <w:rPr>
          <w:rFonts w:hint="eastAsia" w:ascii="仿宋" w:hAnsi="仿宋" w:eastAsia="仿宋" w:cs="Times New Roman"/>
          <w:sz w:val="28"/>
          <w:szCs w:val="28"/>
          <w:highlight w:val="none"/>
          <w:lang w:val="en-US" w:eastAsia="zh-CN"/>
        </w:rPr>
        <w:t>元。</w:t>
      </w:r>
    </w:p>
    <w:p w14:paraId="77C3B905">
      <w:pPr>
        <w:ind w:left="0" w:leftChars="0"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7.最高限价：涂白剂最高限价1430元/吨（含税），保温棉最高限价300元/袋（含税），保温膜最高限价30元/卷（含税）。</w:t>
      </w:r>
    </w:p>
    <w:p w14:paraId="4DBB482D">
      <w:pPr>
        <w:ind w:left="0" w:leftChars="0"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限价按13%税率测算，供应商按自身纳税身份选用1%、3%、13%税率报价，供应商</w:t>
      </w:r>
      <w:r>
        <w:rPr>
          <w:rFonts w:hint="eastAsia" w:ascii="方正仿宋_GBK" w:hAnsi="方正仿宋_GBK" w:eastAsia="方正仿宋_GBK" w:cs="方正仿宋_GBK"/>
          <w:sz w:val="28"/>
          <w:szCs w:val="28"/>
          <w:highlight w:val="none"/>
          <w:lang w:val="en-US" w:eastAsia="zh-CN"/>
        </w:rPr>
        <w:t>的报价大于最高投标限价及分项限价的，否决其投标</w:t>
      </w:r>
      <w:r>
        <w:rPr>
          <w:rFonts w:hint="eastAsia" w:ascii="仿宋" w:hAnsi="仿宋" w:eastAsia="仿宋" w:cs="Times New Roman"/>
          <w:sz w:val="28"/>
          <w:szCs w:val="28"/>
          <w:highlight w:val="none"/>
          <w:lang w:val="en-US" w:eastAsia="zh-CN"/>
        </w:rPr>
        <w:t>。</w:t>
      </w:r>
    </w:p>
    <w:p w14:paraId="7D8A9ED1">
      <w:pPr>
        <w:ind w:left="0" w:leftChars="0"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8.合同履行期限：6个月。</w:t>
      </w:r>
      <w:bookmarkStart w:id="5" w:name="_Toc28359090"/>
      <w:bookmarkStart w:id="6" w:name="_Toc28359013"/>
      <w:bookmarkStart w:id="7" w:name="_Toc35393799"/>
      <w:bookmarkStart w:id="8" w:name="_Toc35393630"/>
    </w:p>
    <w:p w14:paraId="7BEF1A2B">
      <w:pPr>
        <w:ind w:left="0" w:leftChars="0" w:firstLine="560" w:firstLineChars="200"/>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9.交货期限：合同签订后分批次供货，中标人接到采购人书面供货通知后5个工作日内完成交货。</w:t>
      </w:r>
    </w:p>
    <w:p w14:paraId="2B3409FA">
      <w:pPr>
        <w:ind w:left="0" w:leftChars="0"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10.交货地点：安徽省阜阳市，具体地点由采购人指定。</w:t>
      </w:r>
    </w:p>
    <w:p w14:paraId="4C9DDA9E">
      <w:pPr>
        <w:keepNext/>
        <w:keepLines/>
        <w:spacing w:before="260" w:after="260" w:line="360" w:lineRule="auto"/>
        <w:outlineLvl w:val="1"/>
        <w:rPr>
          <w:rFonts w:hint="eastAsia" w:ascii="黑体" w:hAnsi="黑体" w:eastAsia="黑体" w:cs="宋体"/>
          <w:bCs/>
          <w:sz w:val="28"/>
          <w:szCs w:val="28"/>
          <w:highlight w:val="none"/>
        </w:rPr>
      </w:pPr>
      <w:r>
        <w:rPr>
          <w:rFonts w:hint="eastAsia" w:ascii="黑体" w:hAnsi="黑体" w:eastAsia="黑体" w:cs="宋体"/>
          <w:bCs/>
          <w:sz w:val="28"/>
          <w:szCs w:val="28"/>
          <w:highlight w:val="none"/>
        </w:rPr>
        <w:t>二、申请人的资格要求</w:t>
      </w:r>
      <w:bookmarkEnd w:id="5"/>
      <w:bookmarkEnd w:id="6"/>
      <w:bookmarkEnd w:id="7"/>
      <w:bookmarkEnd w:id="8"/>
    </w:p>
    <w:p w14:paraId="5C4FA65B">
      <w:pPr>
        <w:ind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1.</w:t>
      </w:r>
      <w:r>
        <w:rPr>
          <w:rFonts w:hint="eastAsia" w:ascii="仿宋" w:hAnsi="仿宋" w:eastAsia="仿宋" w:cs="Times New Roman"/>
          <w:sz w:val="28"/>
          <w:szCs w:val="28"/>
          <w:highlight w:val="none"/>
          <w:rtl w:val="0"/>
          <w:lang w:val="en-US" w:eastAsia="zh-CN"/>
        </w:rPr>
        <w:t>在中华人民共和国境内依法注册，并且具有合法、有效的营业执照</w:t>
      </w:r>
      <w:r>
        <w:rPr>
          <w:rFonts w:hint="eastAsia" w:ascii="仿宋" w:hAnsi="仿宋" w:eastAsia="仿宋" w:cs="Times New Roman"/>
          <w:sz w:val="28"/>
          <w:szCs w:val="28"/>
          <w:highlight w:val="none"/>
          <w:lang w:val="en-US" w:eastAsia="zh-CN"/>
        </w:rPr>
        <w:t>。</w:t>
      </w:r>
    </w:p>
    <w:p w14:paraId="3D9FBEB8">
      <w:pPr>
        <w:ind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2.其他要求：</w:t>
      </w:r>
      <w:r>
        <w:rPr>
          <w:rFonts w:hint="eastAsia" w:ascii="仿宋" w:hAnsi="仿宋" w:eastAsia="仿宋" w:cs="Times New Roman"/>
          <w:sz w:val="28"/>
          <w:szCs w:val="28"/>
          <w:highlight w:val="none"/>
          <w:rtl w:val="0"/>
          <w:lang w:val="en-US" w:eastAsia="zh-CN"/>
        </w:rPr>
        <w:t>能开具合法有效的增值税专用发票。</w:t>
      </w:r>
    </w:p>
    <w:p w14:paraId="4BFB59C6">
      <w:pPr>
        <w:keepNext w:val="0"/>
        <w:keepLines w:val="0"/>
        <w:pageBreakBefore w:val="0"/>
        <w:widowControl w:val="0"/>
        <w:kinsoku/>
        <w:wordWrap/>
        <w:overflowPunct/>
        <w:topLinePunct w:val="0"/>
        <w:autoSpaceDE/>
        <w:autoSpaceDN/>
        <w:bidi w:val="0"/>
        <w:adjustRightInd/>
        <w:snapToGrid/>
        <w:spacing w:after="0" w:afterLines="100"/>
        <w:ind w:firstLine="560" w:firstLineChars="200"/>
        <w:textAlignment w:val="auto"/>
        <w:rPr>
          <w:rFonts w:hint="eastAsia"/>
          <w:color w:val="auto"/>
          <w:highlight w:val="none"/>
          <w:lang w:val="en-US" w:eastAsia="zh-CN"/>
        </w:rPr>
      </w:pPr>
      <w:r>
        <w:rPr>
          <w:rFonts w:hint="eastAsia" w:ascii="仿宋" w:hAnsi="仿宋" w:eastAsia="仿宋" w:cs="Times New Roman"/>
          <w:sz w:val="28"/>
          <w:szCs w:val="28"/>
          <w:highlight w:val="none"/>
          <w:lang w:val="en-US" w:eastAsia="zh-CN"/>
        </w:rPr>
        <w:t>3.本项目不接受联合体响应，不允许转包、分包。</w:t>
      </w:r>
    </w:p>
    <w:p w14:paraId="7AA0A736">
      <w:pPr>
        <w:spacing w:line="360" w:lineRule="auto"/>
        <w:rPr>
          <w:rFonts w:ascii="黑体" w:hAnsi="黑体" w:eastAsia="黑体" w:cs="宋体"/>
          <w:bCs/>
          <w:sz w:val="28"/>
          <w:szCs w:val="28"/>
          <w:highlight w:val="none"/>
        </w:rPr>
      </w:pPr>
      <w:bookmarkStart w:id="9" w:name="_Toc35393800"/>
      <w:bookmarkStart w:id="10" w:name="_Toc28359014"/>
      <w:bookmarkStart w:id="11" w:name="_Toc35393631"/>
      <w:bookmarkStart w:id="12" w:name="_Toc28359091"/>
      <w:r>
        <w:rPr>
          <w:rFonts w:hint="eastAsia" w:ascii="黑体" w:hAnsi="黑体" w:eastAsia="黑体" w:cs="宋体"/>
          <w:bCs/>
          <w:sz w:val="28"/>
          <w:szCs w:val="28"/>
          <w:highlight w:val="none"/>
        </w:rPr>
        <w:t>三、获取谈判文件</w:t>
      </w:r>
    </w:p>
    <w:p w14:paraId="2A766BD3">
      <w:pPr>
        <w:keepNext w:val="0"/>
        <w:keepLines w:val="0"/>
        <w:pageBreakBefore w:val="0"/>
        <w:widowControl w:val="0"/>
        <w:kinsoku/>
        <w:wordWrap/>
        <w:overflowPunct/>
        <w:topLinePunct w:val="0"/>
        <w:autoSpaceDE/>
        <w:autoSpaceDN/>
        <w:bidi w:val="0"/>
        <w:adjustRightInd/>
        <w:snapToGrid/>
        <w:spacing w:after="0" w:afterLines="100"/>
        <w:ind w:left="0" w:leftChars="0" w:firstLine="560" w:firstLineChars="200"/>
        <w:textAlignment w:val="auto"/>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自采购公告发布之日起，凡有意参加的供应商，可在阜阳投资发展集团有限公司官网(http://www.fytfjt.com/)下载采购文件。</w:t>
      </w:r>
    </w:p>
    <w:p w14:paraId="2CBAE935">
      <w:pPr>
        <w:spacing w:line="360" w:lineRule="auto"/>
        <w:rPr>
          <w:rFonts w:ascii="黑体" w:hAnsi="黑体" w:eastAsia="黑体" w:cs="宋体"/>
          <w:bCs/>
          <w:sz w:val="28"/>
          <w:szCs w:val="28"/>
          <w:highlight w:val="none"/>
        </w:rPr>
      </w:pPr>
      <w:r>
        <w:rPr>
          <w:rFonts w:hint="eastAsia" w:ascii="黑体" w:hAnsi="黑体" w:eastAsia="黑体" w:cs="宋体"/>
          <w:bCs/>
          <w:sz w:val="28"/>
          <w:szCs w:val="28"/>
          <w:highlight w:val="none"/>
          <w:lang w:val="en-US" w:eastAsia="zh-CN"/>
        </w:rPr>
        <w:t>四</w:t>
      </w:r>
      <w:r>
        <w:rPr>
          <w:rFonts w:hint="eastAsia" w:ascii="黑体" w:hAnsi="黑体" w:eastAsia="黑体" w:cs="宋体"/>
          <w:bCs/>
          <w:sz w:val="28"/>
          <w:szCs w:val="28"/>
          <w:highlight w:val="none"/>
        </w:rPr>
        <w:t>、</w:t>
      </w:r>
      <w:bookmarkEnd w:id="9"/>
      <w:bookmarkEnd w:id="10"/>
      <w:bookmarkEnd w:id="11"/>
      <w:bookmarkEnd w:id="12"/>
      <w:bookmarkStart w:id="13" w:name="_Toc28359092"/>
      <w:bookmarkStart w:id="14" w:name="_Toc28359015"/>
      <w:bookmarkStart w:id="15" w:name="_Toc35393632"/>
      <w:bookmarkStart w:id="16" w:name="_Toc35393801"/>
      <w:r>
        <w:rPr>
          <w:rFonts w:hint="eastAsia" w:ascii="黑体" w:hAnsi="黑体" w:eastAsia="黑体" w:cs="宋体"/>
          <w:bCs/>
          <w:sz w:val="28"/>
          <w:szCs w:val="28"/>
          <w:highlight w:val="none"/>
        </w:rPr>
        <w:t>响应文件提交</w:t>
      </w:r>
      <w:bookmarkEnd w:id="13"/>
      <w:bookmarkEnd w:id="14"/>
      <w:bookmarkEnd w:id="15"/>
      <w:bookmarkEnd w:id="16"/>
    </w:p>
    <w:p w14:paraId="5EBE74E4">
      <w:pPr>
        <w:ind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1.开标时间：2026年10月XX日10时00分。</w:t>
      </w:r>
    </w:p>
    <w:p w14:paraId="1F835E7C">
      <w:pPr>
        <w:ind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2.投标文件递交的截止时间同开标时间。</w:t>
      </w:r>
    </w:p>
    <w:p w14:paraId="3059328D">
      <w:pPr>
        <w:ind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3.投标文件提交时间与地点：请各投标人在2026年10月XX日08时00分至10时00分之间递交投标文件至zhaocai@fysthj.com邮箱，其余时间段递交的无效。（具体要求详见其他补充事宜）。</w:t>
      </w:r>
    </w:p>
    <w:p w14:paraId="7806F1EA">
      <w:pPr>
        <w:ind w:firstLine="560" w:firstLineChars="200"/>
        <w:rPr>
          <w:rFonts w:ascii="仿宋" w:hAnsi="仿宋" w:eastAsia="仿宋" w:cs="Times New Roman"/>
          <w:bCs/>
          <w:sz w:val="28"/>
          <w:szCs w:val="28"/>
          <w:highlight w:val="none"/>
          <w:u w:val="single"/>
        </w:rPr>
      </w:pPr>
      <w:r>
        <w:rPr>
          <w:rFonts w:hint="eastAsia" w:ascii="仿宋" w:hAnsi="仿宋" w:eastAsia="仿宋" w:cs="Times New Roman"/>
          <w:sz w:val="28"/>
          <w:szCs w:val="28"/>
          <w:highlight w:val="none"/>
          <w:lang w:val="en-US" w:eastAsia="zh-CN"/>
        </w:rPr>
        <w:t>4.逾期送达的或者未送达指定地点的投标文件，采购人拒绝接受。</w:t>
      </w:r>
    </w:p>
    <w:p w14:paraId="5B295B09">
      <w:pPr>
        <w:keepNext/>
        <w:keepLines/>
        <w:spacing w:before="260" w:after="260" w:line="360" w:lineRule="auto"/>
        <w:outlineLvl w:val="1"/>
        <w:rPr>
          <w:rFonts w:hint="eastAsia" w:ascii="黑体" w:hAnsi="黑体" w:eastAsia="黑体" w:cs="宋体"/>
          <w:bCs/>
          <w:sz w:val="28"/>
          <w:szCs w:val="28"/>
          <w:highlight w:val="none"/>
          <w:lang w:val="en-US" w:eastAsia="zh-CN"/>
        </w:rPr>
      </w:pPr>
      <w:bookmarkStart w:id="17" w:name="_Toc35393802"/>
      <w:bookmarkStart w:id="18" w:name="_Toc28359016"/>
      <w:bookmarkStart w:id="19" w:name="_Toc28359093"/>
      <w:bookmarkStart w:id="20" w:name="_Toc35393633"/>
      <w:r>
        <w:rPr>
          <w:rFonts w:hint="eastAsia" w:ascii="黑体" w:hAnsi="黑体" w:eastAsia="黑体" w:cs="宋体"/>
          <w:bCs/>
          <w:sz w:val="28"/>
          <w:szCs w:val="28"/>
          <w:highlight w:val="none"/>
          <w:lang w:val="en-US" w:eastAsia="zh-CN"/>
        </w:rPr>
        <w:t>五</w:t>
      </w:r>
      <w:r>
        <w:rPr>
          <w:rFonts w:hint="eastAsia" w:ascii="黑体" w:hAnsi="黑体" w:eastAsia="黑体" w:cs="宋体"/>
          <w:bCs/>
          <w:sz w:val="28"/>
          <w:szCs w:val="28"/>
          <w:highlight w:val="none"/>
        </w:rPr>
        <w:t>、</w:t>
      </w:r>
      <w:bookmarkEnd w:id="17"/>
      <w:bookmarkEnd w:id="18"/>
      <w:bookmarkEnd w:id="19"/>
      <w:bookmarkEnd w:id="20"/>
      <w:bookmarkStart w:id="21" w:name="_Toc28359017"/>
      <w:bookmarkStart w:id="22" w:name="_Toc35393803"/>
      <w:bookmarkStart w:id="23" w:name="_Toc28359094"/>
      <w:bookmarkStart w:id="24" w:name="_Toc35393634"/>
      <w:r>
        <w:rPr>
          <w:rFonts w:hint="eastAsia" w:ascii="黑体" w:hAnsi="黑体" w:eastAsia="黑体" w:cs="宋体"/>
          <w:bCs/>
          <w:sz w:val="28"/>
          <w:szCs w:val="28"/>
          <w:highlight w:val="none"/>
          <w:lang w:val="en-US" w:eastAsia="zh-CN"/>
        </w:rPr>
        <w:t>公告期限</w:t>
      </w:r>
    </w:p>
    <w:p w14:paraId="3C215F08">
      <w:pPr>
        <w:keepNext/>
        <w:keepLines/>
        <w:pageBreakBefore w:val="0"/>
        <w:widowControl w:val="0"/>
        <w:kinsoku/>
        <w:wordWrap/>
        <w:overflowPunct/>
        <w:topLinePunct w:val="0"/>
        <w:autoSpaceDE/>
        <w:autoSpaceDN/>
        <w:bidi w:val="0"/>
        <w:adjustRightInd/>
        <w:snapToGrid/>
        <w:spacing w:before="260" w:after="260" w:line="360" w:lineRule="auto"/>
        <w:ind w:firstLine="560" w:firstLineChars="200"/>
        <w:textAlignment w:val="auto"/>
        <w:outlineLvl w:val="1"/>
        <w:rPr>
          <w:rFonts w:hint="eastAsia" w:ascii="仿宋" w:hAnsi="仿宋" w:eastAsia="仿宋" w:cs="Times New Roman"/>
          <w:sz w:val="28"/>
          <w:szCs w:val="28"/>
          <w:highlight w:val="none"/>
        </w:rPr>
      </w:pPr>
      <w:r>
        <w:rPr>
          <w:rFonts w:hint="eastAsia" w:ascii="仿宋" w:hAnsi="仿宋" w:eastAsia="仿宋" w:cs="宋体"/>
          <w:kern w:val="0"/>
          <w:sz w:val="28"/>
          <w:szCs w:val="28"/>
          <w:highlight w:val="none"/>
          <w:lang w:val="en-US" w:eastAsia="zh-CN"/>
        </w:rPr>
        <w:t>自本公告发布之日起5个工作日。</w:t>
      </w:r>
    </w:p>
    <w:p w14:paraId="02B6AAA7">
      <w:pPr>
        <w:keepNext/>
        <w:keepLines/>
        <w:spacing w:before="260" w:after="260" w:line="360" w:lineRule="auto"/>
        <w:outlineLvl w:val="1"/>
        <w:rPr>
          <w:rFonts w:hint="default" w:ascii="黑体" w:hAnsi="黑体" w:eastAsia="黑体" w:cs="宋体"/>
          <w:bCs/>
          <w:sz w:val="28"/>
          <w:szCs w:val="28"/>
          <w:highlight w:val="none"/>
          <w:lang w:val="en-US"/>
        </w:rPr>
      </w:pPr>
      <w:r>
        <w:rPr>
          <w:rFonts w:hint="eastAsia" w:ascii="黑体" w:hAnsi="黑体" w:eastAsia="黑体" w:cs="宋体"/>
          <w:bCs/>
          <w:sz w:val="28"/>
          <w:szCs w:val="28"/>
          <w:highlight w:val="none"/>
          <w:lang w:val="en-US" w:eastAsia="zh-CN"/>
        </w:rPr>
        <w:t>六、其他补充事宜</w:t>
      </w:r>
    </w:p>
    <w:p w14:paraId="67795BBF">
      <w:pPr>
        <w:ind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本项目采用电子邮箱接收投标文件，不再进行现场递交，具体办法如下：</w:t>
      </w:r>
    </w:p>
    <w:p w14:paraId="0F4A302A">
      <w:pPr>
        <w:ind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1.电子邮箱地址：zhaocai@fysthj.com</w:t>
      </w:r>
    </w:p>
    <w:p w14:paraId="3730F0DC">
      <w:pPr>
        <w:ind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2.电子版投标文件的递交方式：</w:t>
      </w:r>
    </w:p>
    <w:p w14:paraId="3BB8F9DC">
      <w:pPr>
        <w:ind w:firstLine="560" w:firstLineChars="200"/>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各潜在投标人应提前将该项目签字盖章齐全的电子版PDF格式的投标文件，压缩为一个压缩包上传至电子邮箱，压缩包和邮件名称均须设置成：投标人名称+项目名称+授权人姓名+授权人手机号码，且邮件内容与邮件名称相统一，如因投标人邮件名称标识错误或邮件内容混传，责任自负。</w:t>
      </w:r>
    </w:p>
    <w:p w14:paraId="76EA5712">
      <w:pPr>
        <w:ind w:firstLine="560" w:firstLineChars="20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lang w:val="en-US" w:eastAsia="zh-CN"/>
        </w:rPr>
        <w:t>以邮件系统显示的接收时间作为投标人递交投标文件的时间，采购截止时间后电子邮箱接收到的投标文件无效。若同一投标人在投标文件递交截止时间前于电子邮箱内提交多份投标文件的，以递交时间最晚的投标文件，作为本次项目的正式投标文件，递交投标文件最晚的邮箱作为该投标人的指定邮箱。逾期提交的或者未提交至电子邮箱的投标文件，采购人拒绝接收。</w:t>
      </w:r>
    </w:p>
    <w:p w14:paraId="23F177EE">
      <w:pPr>
        <w:keepNext w:val="0"/>
        <w:keepLines w:val="0"/>
        <w:pageBreakBefore w:val="0"/>
        <w:widowControl w:val="0"/>
        <w:kinsoku/>
        <w:wordWrap/>
        <w:overflowPunct/>
        <w:topLinePunct w:val="0"/>
        <w:autoSpaceDE/>
        <w:autoSpaceDN/>
        <w:bidi w:val="0"/>
        <w:adjustRightInd/>
        <w:snapToGrid/>
        <w:spacing w:after="0" w:afterLines="100"/>
        <w:textAlignment w:val="auto"/>
        <w:rPr>
          <w:rFonts w:hint="eastAsia" w:ascii="黑体" w:hAnsi="黑体" w:eastAsia="黑体" w:cs="宋体"/>
          <w:bCs/>
          <w:sz w:val="28"/>
          <w:szCs w:val="28"/>
          <w:highlight w:val="none"/>
        </w:rPr>
      </w:pPr>
      <w:r>
        <w:rPr>
          <w:rFonts w:hint="eastAsia" w:ascii="黑体" w:hAnsi="黑体" w:eastAsia="黑体" w:cs="宋体"/>
          <w:bCs/>
          <w:sz w:val="28"/>
          <w:szCs w:val="28"/>
          <w:highlight w:val="none"/>
          <w:lang w:val="en-US" w:eastAsia="zh-CN"/>
        </w:rPr>
        <w:t>七</w:t>
      </w:r>
      <w:r>
        <w:rPr>
          <w:rFonts w:hint="eastAsia" w:ascii="黑体" w:hAnsi="黑体" w:eastAsia="黑体" w:cs="宋体"/>
          <w:bCs/>
          <w:sz w:val="28"/>
          <w:szCs w:val="28"/>
          <w:highlight w:val="none"/>
        </w:rPr>
        <w:t>、</w:t>
      </w:r>
      <w:bookmarkEnd w:id="21"/>
      <w:bookmarkEnd w:id="22"/>
      <w:bookmarkEnd w:id="23"/>
      <w:bookmarkEnd w:id="24"/>
      <w:r>
        <w:rPr>
          <w:rFonts w:hint="eastAsia" w:ascii="黑体" w:hAnsi="黑体" w:eastAsia="黑体" w:cs="宋体"/>
          <w:bCs/>
          <w:sz w:val="28"/>
          <w:szCs w:val="28"/>
          <w:highlight w:val="none"/>
        </w:rPr>
        <w:t>凡对本次采购提出询问，请按以下方式联系。</w:t>
      </w:r>
      <w:bookmarkStart w:id="25" w:name="_Toc35393635"/>
      <w:bookmarkStart w:id="26" w:name="_Toc35393804"/>
    </w:p>
    <w:p w14:paraId="30A6930B">
      <w:pPr>
        <w:ind w:firstLine="560" w:firstLineChars="20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rPr>
        <w:t>采购人信息</w:t>
      </w:r>
    </w:p>
    <w:p w14:paraId="078984E6">
      <w:pPr>
        <w:ind w:firstLine="560" w:firstLineChars="200"/>
        <w:rPr>
          <w:rFonts w:hint="eastAsia" w:ascii="仿宋" w:hAnsi="仿宋" w:eastAsia="仿宋" w:cs="Times New Roman"/>
          <w:sz w:val="28"/>
          <w:szCs w:val="28"/>
          <w:highlight w:val="none"/>
          <w:lang w:eastAsia="zh-CN"/>
        </w:rPr>
      </w:pPr>
      <w:r>
        <w:rPr>
          <w:rFonts w:hint="eastAsia" w:ascii="仿宋" w:hAnsi="仿宋" w:eastAsia="仿宋" w:cs="Times New Roman"/>
          <w:sz w:val="28"/>
          <w:szCs w:val="28"/>
          <w:highlight w:val="none"/>
        </w:rPr>
        <w:t>名    称：</w:t>
      </w:r>
      <w:r>
        <w:rPr>
          <w:rFonts w:hint="eastAsia" w:ascii="仿宋" w:hAnsi="仿宋" w:eastAsia="仿宋" w:cs="Times New Roman"/>
          <w:sz w:val="28"/>
          <w:szCs w:val="28"/>
          <w:highlight w:val="none"/>
          <w:lang w:eastAsia="zh-CN"/>
        </w:rPr>
        <w:t>阜阳建投物业服务有限公司</w:t>
      </w:r>
    </w:p>
    <w:p w14:paraId="11A90ABF">
      <w:pPr>
        <w:ind w:firstLine="560" w:firstLineChars="200"/>
        <w:rPr>
          <w:rFonts w:hint="eastAsia" w:ascii="仿宋" w:hAnsi="仿宋" w:eastAsia="仿宋" w:cs="Times New Roman"/>
          <w:sz w:val="28"/>
          <w:szCs w:val="28"/>
          <w:highlight w:val="none"/>
        </w:rPr>
      </w:pPr>
      <w:r>
        <w:rPr>
          <w:rFonts w:hint="eastAsia" w:ascii="仿宋" w:hAnsi="仿宋" w:eastAsia="仿宋" w:cs="Times New Roman"/>
          <w:sz w:val="28"/>
          <w:szCs w:val="28"/>
          <w:highlight w:val="none"/>
        </w:rPr>
        <w:t>地    址： 安徽省阜阳市颍州区清河街道淮河路2000号建投大厦1</w:t>
      </w:r>
      <w:r>
        <w:rPr>
          <w:rFonts w:hint="eastAsia" w:ascii="仿宋" w:hAnsi="仿宋" w:eastAsia="仿宋" w:cs="Times New Roman"/>
          <w:sz w:val="28"/>
          <w:szCs w:val="28"/>
          <w:highlight w:val="none"/>
          <w:lang w:val="en-US" w:eastAsia="zh-CN"/>
        </w:rPr>
        <w:t>0</w:t>
      </w:r>
      <w:r>
        <w:rPr>
          <w:rFonts w:hint="eastAsia" w:ascii="仿宋" w:hAnsi="仿宋" w:eastAsia="仿宋" w:cs="Times New Roman"/>
          <w:sz w:val="28"/>
          <w:szCs w:val="28"/>
          <w:highlight w:val="none"/>
        </w:rPr>
        <w:t>楼</w:t>
      </w:r>
    </w:p>
    <w:bookmarkEnd w:id="25"/>
    <w:bookmarkEnd w:id="26"/>
    <w:p w14:paraId="34CB8762">
      <w:pPr>
        <w:keepNext w:val="0"/>
        <w:keepLines w:val="0"/>
        <w:pageBreakBefore w:val="0"/>
        <w:widowControl w:val="0"/>
        <w:kinsoku/>
        <w:wordWrap/>
        <w:overflowPunct/>
        <w:topLinePunct w:val="0"/>
        <w:autoSpaceDE/>
        <w:autoSpaceDN/>
        <w:bidi w:val="0"/>
        <w:adjustRightInd/>
        <w:snapToGrid/>
        <w:spacing w:after="0" w:afterLines="100"/>
        <w:ind w:firstLine="560" w:firstLineChars="200"/>
        <w:textAlignment w:val="auto"/>
        <w:rPr>
          <w:rFonts w:hint="eastAsia" w:ascii="仿宋" w:hAnsi="仿宋" w:eastAsia="仿宋" w:cs="宋体"/>
          <w:kern w:val="0"/>
          <w:sz w:val="28"/>
          <w:szCs w:val="28"/>
          <w:highlight w:val="none"/>
        </w:rPr>
      </w:pPr>
      <w:bookmarkStart w:id="27" w:name="_Toc38640621"/>
      <w:r>
        <w:rPr>
          <w:rFonts w:hint="eastAsia" w:ascii="仿宋" w:hAnsi="仿宋" w:eastAsia="仿宋" w:cs="Times New Roman"/>
          <w:sz w:val="28"/>
          <w:szCs w:val="28"/>
          <w:highlight w:val="none"/>
        </w:rPr>
        <w:t xml:space="preserve">联系方式： </w:t>
      </w:r>
      <w:r>
        <w:rPr>
          <w:rFonts w:hint="eastAsia" w:ascii="仿宋" w:hAnsi="仿宋" w:eastAsia="仿宋" w:cs="Times New Roman"/>
          <w:sz w:val="28"/>
          <w:szCs w:val="28"/>
          <w:highlight w:val="none"/>
          <w:lang w:val="en-US" w:eastAsia="zh-CN"/>
        </w:rPr>
        <w:t>程工 17356881051</w:t>
      </w:r>
      <w:r>
        <w:rPr>
          <w:rFonts w:hint="eastAsia" w:ascii="仿宋" w:hAnsi="仿宋" w:eastAsia="仿宋" w:cs="宋体"/>
          <w:kern w:val="0"/>
          <w:sz w:val="28"/>
          <w:szCs w:val="28"/>
          <w:highlight w:val="none"/>
        </w:rPr>
        <w:br w:type="page"/>
      </w:r>
    </w:p>
    <w:p w14:paraId="10A5C7FE">
      <w:pPr>
        <w:keepNext/>
        <w:keepLines/>
        <w:tabs>
          <w:tab w:val="left" w:pos="0"/>
        </w:tabs>
        <w:autoSpaceDE w:val="0"/>
        <w:autoSpaceDN w:val="0"/>
        <w:adjustRightInd w:val="0"/>
        <w:spacing w:line="360" w:lineRule="auto"/>
        <w:jc w:val="center"/>
        <w:outlineLvl w:val="0"/>
        <w:rPr>
          <w:rFonts w:hint="eastAsia" w:ascii="华文中宋" w:hAnsi="华文中宋" w:eastAsia="华文中宋" w:cs="华文中宋"/>
          <w:b/>
          <w:bCs/>
          <w:kern w:val="44"/>
          <w:sz w:val="44"/>
          <w:szCs w:val="44"/>
          <w:highlight w:val="none"/>
        </w:rPr>
      </w:pPr>
      <w:bookmarkStart w:id="28" w:name="_Toc10396"/>
      <w:r>
        <w:rPr>
          <w:rFonts w:hint="eastAsia" w:ascii="华文中宋" w:hAnsi="华文中宋" w:eastAsia="华文中宋" w:cs="华文中宋"/>
          <w:b/>
          <w:bCs/>
          <w:kern w:val="44"/>
          <w:sz w:val="44"/>
          <w:szCs w:val="44"/>
          <w:highlight w:val="none"/>
        </w:rPr>
        <w:t>第二章</w:t>
      </w:r>
      <w:r>
        <w:rPr>
          <w:rFonts w:hint="eastAsia" w:ascii="华文中宋" w:hAnsi="华文中宋" w:eastAsia="华文中宋" w:cs="华文中宋"/>
          <w:b/>
          <w:bCs/>
          <w:kern w:val="44"/>
          <w:sz w:val="44"/>
          <w:szCs w:val="44"/>
          <w:highlight w:val="none"/>
          <w:lang w:val="en-US" w:eastAsia="zh-CN"/>
        </w:rPr>
        <w:t xml:space="preserve"> </w:t>
      </w:r>
      <w:r>
        <w:rPr>
          <w:rFonts w:hint="eastAsia" w:ascii="华文中宋" w:hAnsi="华文中宋" w:eastAsia="华文中宋" w:cs="华文中宋"/>
          <w:b/>
          <w:bCs/>
          <w:kern w:val="44"/>
          <w:sz w:val="44"/>
          <w:szCs w:val="44"/>
          <w:highlight w:val="none"/>
        </w:rPr>
        <w:t>供应商须知</w:t>
      </w:r>
      <w:bookmarkEnd w:id="27"/>
      <w:bookmarkEnd w:id="28"/>
    </w:p>
    <w:p w14:paraId="0C1D6813">
      <w:pPr>
        <w:keepNext/>
        <w:keepLines/>
        <w:spacing w:line="360" w:lineRule="auto"/>
        <w:ind w:left="3170"/>
        <w:outlineLvl w:val="2"/>
        <w:rPr>
          <w:rFonts w:ascii="宋体" w:hAnsi="宋体" w:eastAsia="宋体" w:cs="Times New Roman"/>
          <w:b/>
          <w:bCs/>
          <w:szCs w:val="21"/>
          <w:highlight w:val="none"/>
        </w:rPr>
      </w:pPr>
      <w:r>
        <w:rPr>
          <w:rFonts w:ascii="宋体" w:hAnsi="宋体" w:eastAsia="宋体" w:cs="Times New Roman"/>
          <w:b/>
          <w:bCs/>
          <w:szCs w:val="21"/>
          <w:highlight w:val="none"/>
        </w:rPr>
        <w:t>一、供应商须知前附表</w:t>
      </w:r>
    </w:p>
    <w:p w14:paraId="4AA58509">
      <w:pPr>
        <w:autoSpaceDE w:val="0"/>
        <w:autoSpaceDN w:val="0"/>
        <w:spacing w:before="160" w:after="6" w:line="360" w:lineRule="auto"/>
        <w:ind w:left="234" w:right="296" w:firstLine="434"/>
        <w:jc w:val="left"/>
        <w:rPr>
          <w:rFonts w:ascii="宋体" w:hAnsi="宋体" w:eastAsia="宋体" w:cs="宋体"/>
          <w:kern w:val="0"/>
          <w:szCs w:val="21"/>
          <w:highlight w:val="none"/>
          <w:lang w:val="zh-CN" w:bidi="zh-CN"/>
        </w:rPr>
      </w:pPr>
      <w:r>
        <w:rPr>
          <w:rFonts w:ascii="宋体" w:hAnsi="宋体" w:eastAsia="宋体" w:cs="宋体"/>
          <w:b/>
          <w:kern w:val="0"/>
          <w:szCs w:val="21"/>
          <w:highlight w:val="none"/>
          <w:lang w:val="zh-CN" w:bidi="zh-CN"/>
        </w:rPr>
        <w:t>注：</w:t>
      </w:r>
      <w:r>
        <w:rPr>
          <w:rFonts w:ascii="宋体" w:hAnsi="宋体" w:eastAsia="宋体" w:cs="宋体"/>
          <w:kern w:val="0"/>
          <w:szCs w:val="21"/>
          <w:highlight w:val="none"/>
          <w:lang w:val="zh-CN" w:bidi="zh-CN"/>
        </w:rPr>
        <w:t>本表是本项目的具体要求，是对供应商须知的具体补充和修改，如有不一致，以本表为准。</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7"/>
        <w:gridCol w:w="1995"/>
        <w:gridCol w:w="5555"/>
      </w:tblGrid>
      <w:tr w14:paraId="2DD9F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947" w:type="dxa"/>
            <w:vAlign w:val="center"/>
          </w:tcPr>
          <w:p w14:paraId="2974C42A">
            <w:pPr>
              <w:autoSpaceDE w:val="0"/>
              <w:autoSpaceDN w:val="0"/>
              <w:spacing w:before="96" w:line="360" w:lineRule="auto"/>
              <w:ind w:left="118" w:right="111"/>
              <w:jc w:val="center"/>
              <w:rPr>
                <w:rFonts w:ascii="宋体" w:hAnsi="宋体" w:eastAsia="宋体" w:cs="宋体"/>
                <w:b/>
                <w:kern w:val="0"/>
                <w:szCs w:val="21"/>
                <w:highlight w:val="none"/>
                <w:lang w:val="zh-CN" w:eastAsia="en-US" w:bidi="zh-CN"/>
              </w:rPr>
            </w:pPr>
            <w:r>
              <w:rPr>
                <w:rFonts w:ascii="宋体" w:hAnsi="宋体" w:eastAsia="宋体" w:cs="宋体"/>
                <w:b/>
                <w:kern w:val="0"/>
                <w:szCs w:val="21"/>
                <w:highlight w:val="none"/>
                <w:lang w:val="zh-CN" w:eastAsia="en-US" w:bidi="zh-CN"/>
              </w:rPr>
              <w:t>条款号</w:t>
            </w:r>
          </w:p>
        </w:tc>
        <w:tc>
          <w:tcPr>
            <w:tcW w:w="1995" w:type="dxa"/>
            <w:vAlign w:val="center"/>
          </w:tcPr>
          <w:p w14:paraId="4235E6B7">
            <w:pPr>
              <w:autoSpaceDE w:val="0"/>
              <w:autoSpaceDN w:val="0"/>
              <w:spacing w:before="96" w:line="360" w:lineRule="auto"/>
              <w:ind w:left="530"/>
              <w:jc w:val="left"/>
              <w:rPr>
                <w:rFonts w:ascii="宋体" w:hAnsi="宋体" w:eastAsia="宋体" w:cs="宋体"/>
                <w:b/>
                <w:kern w:val="0"/>
                <w:szCs w:val="21"/>
                <w:highlight w:val="none"/>
                <w:lang w:val="zh-CN" w:eastAsia="en-US" w:bidi="zh-CN"/>
              </w:rPr>
            </w:pPr>
            <w:r>
              <w:rPr>
                <w:rFonts w:ascii="宋体" w:hAnsi="宋体" w:eastAsia="宋体" w:cs="宋体"/>
                <w:b/>
                <w:kern w:val="0"/>
                <w:szCs w:val="21"/>
                <w:highlight w:val="none"/>
                <w:lang w:val="zh-CN" w:eastAsia="en-US" w:bidi="zh-CN"/>
              </w:rPr>
              <w:t>条款名称</w:t>
            </w:r>
          </w:p>
        </w:tc>
        <w:tc>
          <w:tcPr>
            <w:tcW w:w="5555" w:type="dxa"/>
            <w:vAlign w:val="center"/>
          </w:tcPr>
          <w:p w14:paraId="613045C4">
            <w:pPr>
              <w:autoSpaceDE w:val="0"/>
              <w:autoSpaceDN w:val="0"/>
              <w:spacing w:before="96" w:line="360" w:lineRule="auto"/>
              <w:ind w:left="1769"/>
              <w:jc w:val="left"/>
              <w:rPr>
                <w:rFonts w:ascii="宋体" w:hAnsi="宋体" w:eastAsia="宋体" w:cs="宋体"/>
                <w:b/>
                <w:kern w:val="0"/>
                <w:szCs w:val="21"/>
                <w:highlight w:val="none"/>
                <w:lang w:val="zh-CN" w:eastAsia="en-US" w:bidi="zh-CN"/>
              </w:rPr>
            </w:pPr>
            <w:r>
              <w:rPr>
                <w:rFonts w:ascii="宋体" w:hAnsi="宋体" w:eastAsia="宋体" w:cs="宋体"/>
                <w:b/>
                <w:kern w:val="0"/>
                <w:szCs w:val="21"/>
                <w:highlight w:val="none"/>
                <w:lang w:val="zh-CN" w:eastAsia="en-US" w:bidi="zh-CN"/>
              </w:rPr>
              <w:t>内容、说明与要求</w:t>
            </w:r>
          </w:p>
        </w:tc>
      </w:tr>
      <w:tr w14:paraId="08F5D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947" w:type="dxa"/>
            <w:vAlign w:val="center"/>
          </w:tcPr>
          <w:p w14:paraId="65E6504C">
            <w:pPr>
              <w:autoSpaceDE w:val="0"/>
              <w:autoSpaceDN w:val="0"/>
              <w:spacing w:before="19" w:line="360" w:lineRule="auto"/>
              <w:ind w:left="107"/>
              <w:jc w:val="center"/>
              <w:rPr>
                <w:rFonts w:ascii="宋体" w:hAnsi="宋体" w:eastAsia="宋体" w:cs="宋体"/>
                <w:kern w:val="0"/>
                <w:szCs w:val="21"/>
                <w:highlight w:val="none"/>
                <w:lang w:val="zh-CN" w:eastAsia="en-US" w:bidi="zh-CN"/>
              </w:rPr>
            </w:pPr>
            <w:r>
              <w:rPr>
                <w:rFonts w:hint="eastAsia" w:ascii="宋体" w:hAnsi="宋体" w:eastAsia="宋体" w:cs="宋体"/>
                <w:kern w:val="0"/>
                <w:szCs w:val="21"/>
                <w:highlight w:val="none"/>
                <w:lang w:val="en-US" w:eastAsia="zh-CN" w:bidi="zh-CN"/>
              </w:rPr>
              <w:t>1</w:t>
            </w:r>
          </w:p>
        </w:tc>
        <w:tc>
          <w:tcPr>
            <w:tcW w:w="1995" w:type="dxa"/>
            <w:vAlign w:val="center"/>
          </w:tcPr>
          <w:p w14:paraId="1847ADB5">
            <w:pPr>
              <w:autoSpaceDE w:val="0"/>
              <w:autoSpaceDN w:val="0"/>
              <w:spacing w:before="96" w:line="360" w:lineRule="auto"/>
              <w:ind w:left="107"/>
              <w:jc w:val="left"/>
              <w:rPr>
                <w:rFonts w:ascii="宋体" w:hAnsi="宋体" w:eastAsia="宋体" w:cs="宋体"/>
                <w:kern w:val="0"/>
                <w:szCs w:val="21"/>
                <w:highlight w:val="none"/>
                <w:lang w:val="zh-CN" w:eastAsia="en-US" w:bidi="zh-CN"/>
              </w:rPr>
            </w:pPr>
            <w:r>
              <w:rPr>
                <w:rFonts w:ascii="宋体" w:hAnsi="宋体" w:eastAsia="宋体" w:cs="宋体"/>
                <w:kern w:val="0"/>
                <w:szCs w:val="21"/>
                <w:highlight w:val="none"/>
                <w:lang w:val="zh-CN" w:eastAsia="en-US" w:bidi="zh-CN"/>
              </w:rPr>
              <w:t>采购人</w:t>
            </w:r>
          </w:p>
        </w:tc>
        <w:tc>
          <w:tcPr>
            <w:tcW w:w="5555" w:type="dxa"/>
            <w:vAlign w:val="center"/>
          </w:tcPr>
          <w:p w14:paraId="0710812F">
            <w:pPr>
              <w:autoSpaceDE w:val="0"/>
              <w:autoSpaceDN w:val="0"/>
              <w:spacing w:before="96" w:line="360" w:lineRule="auto"/>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 xml:space="preserve">阜阳建投物业服务有限公司                </w:t>
            </w:r>
          </w:p>
        </w:tc>
      </w:tr>
      <w:tr w14:paraId="39E78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47" w:type="dxa"/>
            <w:vAlign w:val="center"/>
          </w:tcPr>
          <w:p w14:paraId="413D9C6C">
            <w:pPr>
              <w:autoSpaceDE w:val="0"/>
              <w:autoSpaceDN w:val="0"/>
              <w:spacing w:before="19" w:line="360" w:lineRule="auto"/>
              <w:ind w:left="107"/>
              <w:jc w:val="center"/>
              <w:rPr>
                <w:rFonts w:ascii="宋体" w:hAnsi="宋体" w:eastAsia="宋体" w:cs="宋体"/>
                <w:kern w:val="0"/>
                <w:szCs w:val="21"/>
                <w:highlight w:val="none"/>
                <w:lang w:val="zh-CN" w:eastAsia="en-US" w:bidi="zh-CN"/>
              </w:rPr>
            </w:pPr>
            <w:r>
              <w:rPr>
                <w:rFonts w:hint="eastAsia" w:ascii="宋体" w:hAnsi="宋体" w:eastAsia="宋体" w:cs="宋体"/>
                <w:kern w:val="0"/>
                <w:szCs w:val="21"/>
                <w:highlight w:val="none"/>
                <w:lang w:val="en-US" w:eastAsia="zh-CN" w:bidi="zh-CN"/>
              </w:rPr>
              <w:t>2</w:t>
            </w:r>
          </w:p>
        </w:tc>
        <w:tc>
          <w:tcPr>
            <w:tcW w:w="1995" w:type="dxa"/>
            <w:vAlign w:val="center"/>
          </w:tcPr>
          <w:p w14:paraId="4F80860C">
            <w:pPr>
              <w:autoSpaceDE w:val="0"/>
              <w:autoSpaceDN w:val="0"/>
              <w:spacing w:line="360" w:lineRule="auto"/>
              <w:ind w:left="107"/>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是否允许采购进</w:t>
            </w:r>
          </w:p>
          <w:p w14:paraId="22181912">
            <w:pPr>
              <w:autoSpaceDE w:val="0"/>
              <w:autoSpaceDN w:val="0"/>
              <w:spacing w:before="4" w:line="360" w:lineRule="auto"/>
              <w:ind w:left="107"/>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口产品</w:t>
            </w:r>
          </w:p>
        </w:tc>
        <w:tc>
          <w:tcPr>
            <w:tcW w:w="5555" w:type="dxa"/>
            <w:vAlign w:val="center"/>
          </w:tcPr>
          <w:p w14:paraId="4A5901DA">
            <w:pPr>
              <w:autoSpaceDE w:val="0"/>
              <w:autoSpaceDN w:val="0"/>
              <w:spacing w:before="156" w:line="360" w:lineRule="auto"/>
              <w:ind w:left="108"/>
              <w:jc w:val="left"/>
              <w:rPr>
                <w:rFonts w:ascii="宋体" w:hAnsi="宋体" w:eastAsia="宋体" w:cs="宋体"/>
                <w:kern w:val="0"/>
                <w:szCs w:val="21"/>
                <w:highlight w:val="none"/>
                <w:lang w:val="zh-CN" w:eastAsia="en-US" w:bidi="zh-CN"/>
              </w:rPr>
            </w:pPr>
            <w:r>
              <w:rPr>
                <w:rFonts w:ascii="宋体" w:hAnsi="宋体" w:eastAsia="宋体" w:cs="宋体"/>
                <w:kern w:val="0"/>
                <w:szCs w:val="21"/>
                <w:highlight w:val="none"/>
                <w:u w:val="single"/>
                <w:lang w:val="zh-CN" w:eastAsia="en-US" w:bidi="zh-CN"/>
              </w:rPr>
              <w:t>详见采购需求</w:t>
            </w:r>
          </w:p>
        </w:tc>
      </w:tr>
      <w:tr w14:paraId="5575A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47" w:type="dxa"/>
            <w:vAlign w:val="center"/>
          </w:tcPr>
          <w:p w14:paraId="15767949">
            <w:pPr>
              <w:autoSpaceDE w:val="0"/>
              <w:autoSpaceDN w:val="0"/>
              <w:spacing w:before="19" w:line="360" w:lineRule="auto"/>
              <w:ind w:left="107"/>
              <w:jc w:val="center"/>
              <w:rPr>
                <w:rFonts w:hint="default" w:ascii="宋体" w:hAnsi="宋体" w:eastAsia="宋体" w:cs="宋体"/>
                <w:kern w:val="0"/>
                <w:szCs w:val="21"/>
                <w:highlight w:val="none"/>
                <w:lang w:val="en-US" w:eastAsia="en-US" w:bidi="zh-CN"/>
              </w:rPr>
            </w:pPr>
            <w:r>
              <w:rPr>
                <w:rFonts w:hint="eastAsia" w:ascii="宋体" w:hAnsi="宋体" w:eastAsia="宋体" w:cs="宋体"/>
                <w:kern w:val="0"/>
                <w:szCs w:val="21"/>
                <w:highlight w:val="none"/>
                <w:lang w:val="en-US" w:eastAsia="zh-CN" w:bidi="zh-CN"/>
              </w:rPr>
              <w:t>3</w:t>
            </w:r>
          </w:p>
        </w:tc>
        <w:tc>
          <w:tcPr>
            <w:tcW w:w="1995" w:type="dxa"/>
            <w:vAlign w:val="center"/>
          </w:tcPr>
          <w:p w14:paraId="7FF3DCD3">
            <w:pPr>
              <w:autoSpaceDE w:val="0"/>
              <w:autoSpaceDN w:val="0"/>
              <w:spacing w:line="360" w:lineRule="auto"/>
              <w:ind w:left="107" w:right="226"/>
              <w:jc w:val="left"/>
              <w:rPr>
                <w:rFonts w:ascii="宋体" w:hAnsi="宋体" w:eastAsia="宋体" w:cs="宋体"/>
                <w:kern w:val="0"/>
                <w:szCs w:val="21"/>
                <w:highlight w:val="none"/>
                <w:lang w:val="zh-CN" w:eastAsia="en-US" w:bidi="zh-CN"/>
              </w:rPr>
            </w:pPr>
            <w:r>
              <w:rPr>
                <w:rFonts w:ascii="宋体" w:hAnsi="宋体" w:eastAsia="宋体" w:cs="宋体"/>
                <w:kern w:val="0"/>
                <w:szCs w:val="21"/>
                <w:highlight w:val="none"/>
                <w:lang w:val="zh-CN" w:eastAsia="en-US" w:bidi="zh-CN"/>
              </w:rPr>
              <w:t>是否允许联合体报价</w:t>
            </w:r>
          </w:p>
        </w:tc>
        <w:tc>
          <w:tcPr>
            <w:tcW w:w="5555" w:type="dxa"/>
            <w:vAlign w:val="center"/>
          </w:tcPr>
          <w:p w14:paraId="523115E1">
            <w:pPr>
              <w:autoSpaceDE w:val="0"/>
              <w:autoSpaceDN w:val="0"/>
              <w:spacing w:before="156" w:line="360" w:lineRule="auto"/>
              <w:jc w:val="left"/>
              <w:rPr>
                <w:rFonts w:ascii="宋体" w:hAnsi="宋体" w:eastAsia="宋体" w:cs="宋体"/>
                <w:kern w:val="0"/>
                <w:szCs w:val="21"/>
                <w:highlight w:val="none"/>
                <w:lang w:val="zh-CN" w:eastAsia="en-US" w:bidi="zh-CN"/>
              </w:rPr>
            </w:pPr>
            <w:r>
              <w:rPr>
                <w:rFonts w:ascii="Segoe UI Symbol" w:hAnsi="Segoe UI Symbol" w:cs="Segoe UI Symbol"/>
                <w:szCs w:val="21"/>
                <w:highlight w:val="none"/>
              </w:rPr>
              <w:t>☑</w:t>
            </w:r>
            <w:r>
              <w:rPr>
                <w:rFonts w:ascii="宋体" w:hAnsi="宋体" w:eastAsia="宋体" w:cs="宋体"/>
                <w:kern w:val="0"/>
                <w:szCs w:val="21"/>
                <w:highlight w:val="none"/>
                <w:lang w:val="zh-CN" w:eastAsia="en-US" w:bidi="zh-CN"/>
              </w:rPr>
              <w:t>否</w:t>
            </w:r>
          </w:p>
        </w:tc>
      </w:tr>
      <w:tr w14:paraId="69F35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0" w:hRule="atLeast"/>
          <w:jc w:val="center"/>
        </w:trPr>
        <w:tc>
          <w:tcPr>
            <w:tcW w:w="947" w:type="dxa"/>
            <w:vAlign w:val="center"/>
          </w:tcPr>
          <w:p w14:paraId="5FECE2C1">
            <w:pPr>
              <w:autoSpaceDE w:val="0"/>
              <w:autoSpaceDN w:val="0"/>
              <w:spacing w:before="19" w:line="360" w:lineRule="auto"/>
              <w:ind w:left="107"/>
              <w:jc w:val="center"/>
              <w:rPr>
                <w:rFonts w:ascii="宋体" w:hAnsi="宋体" w:eastAsia="宋体" w:cs="宋体"/>
                <w:kern w:val="0"/>
                <w:szCs w:val="21"/>
                <w:highlight w:val="none"/>
                <w:lang w:val="zh-CN" w:eastAsia="en-US" w:bidi="zh-CN"/>
              </w:rPr>
            </w:pPr>
            <w:r>
              <w:rPr>
                <w:rFonts w:hint="eastAsia" w:ascii="宋体" w:hAnsi="宋体" w:eastAsia="宋体" w:cs="宋体"/>
                <w:kern w:val="0"/>
                <w:szCs w:val="21"/>
                <w:highlight w:val="none"/>
                <w:lang w:val="en-US" w:eastAsia="zh-CN" w:bidi="zh-CN"/>
              </w:rPr>
              <w:t>4</w:t>
            </w:r>
          </w:p>
        </w:tc>
        <w:tc>
          <w:tcPr>
            <w:tcW w:w="1995" w:type="dxa"/>
            <w:vAlign w:val="center"/>
          </w:tcPr>
          <w:p w14:paraId="1D26A38A">
            <w:pPr>
              <w:autoSpaceDE w:val="0"/>
              <w:autoSpaceDN w:val="0"/>
              <w:spacing w:line="360" w:lineRule="auto"/>
              <w:ind w:left="107"/>
              <w:jc w:val="left"/>
              <w:rPr>
                <w:rFonts w:ascii="宋体" w:hAnsi="宋体" w:eastAsia="宋体" w:cs="宋体"/>
                <w:kern w:val="0"/>
                <w:szCs w:val="21"/>
                <w:highlight w:val="none"/>
                <w:lang w:val="zh-CN" w:eastAsia="en-US" w:bidi="zh-CN"/>
              </w:rPr>
            </w:pPr>
            <w:r>
              <w:rPr>
                <w:rFonts w:ascii="宋体" w:hAnsi="宋体" w:eastAsia="宋体" w:cs="宋体"/>
                <w:kern w:val="0"/>
                <w:szCs w:val="21"/>
                <w:highlight w:val="none"/>
                <w:lang w:val="zh-CN" w:eastAsia="en-US" w:bidi="zh-CN"/>
              </w:rPr>
              <w:t>现场考察</w:t>
            </w:r>
          </w:p>
        </w:tc>
        <w:tc>
          <w:tcPr>
            <w:tcW w:w="5555" w:type="dxa"/>
            <w:vAlign w:val="center"/>
          </w:tcPr>
          <w:p w14:paraId="15C99B67">
            <w:pPr>
              <w:autoSpaceDE w:val="0"/>
              <w:autoSpaceDN w:val="0"/>
              <w:spacing w:before="161" w:line="360" w:lineRule="auto"/>
              <w:ind w:left="108"/>
              <w:jc w:val="left"/>
              <w:rPr>
                <w:rFonts w:ascii="宋体" w:hAnsi="宋体" w:eastAsia="宋体" w:cs="宋体"/>
                <w:kern w:val="0"/>
                <w:szCs w:val="21"/>
                <w:highlight w:val="none"/>
                <w:lang w:val="zh-CN" w:bidi="zh-CN"/>
              </w:rPr>
            </w:pPr>
            <w:r>
              <w:rPr>
                <w:rFonts w:ascii="Segoe UI Symbol" w:hAnsi="Segoe UI Symbol" w:cs="Segoe UI Symbol"/>
                <w:szCs w:val="21"/>
                <w:highlight w:val="none"/>
              </w:rPr>
              <w:t>☑</w:t>
            </w:r>
            <w:r>
              <w:rPr>
                <w:rFonts w:ascii="宋体" w:hAnsi="宋体" w:eastAsia="宋体" w:cs="宋体"/>
                <w:kern w:val="0"/>
                <w:szCs w:val="21"/>
                <w:highlight w:val="none"/>
                <w:lang w:val="zh-CN" w:bidi="zh-CN"/>
              </w:rPr>
              <w:t>不组织，供应商自行考察</w:t>
            </w:r>
          </w:p>
          <w:p w14:paraId="63456349">
            <w:pPr>
              <w:autoSpaceDE w:val="0"/>
              <w:autoSpaceDN w:val="0"/>
              <w:spacing w:before="191" w:line="360" w:lineRule="auto"/>
              <w:ind w:left="108"/>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□统一组织</w:t>
            </w:r>
          </w:p>
          <w:p w14:paraId="0A46644F">
            <w:pPr>
              <w:tabs>
                <w:tab w:val="left" w:pos="1308"/>
                <w:tab w:val="left" w:pos="3643"/>
              </w:tabs>
              <w:autoSpaceDE w:val="0"/>
              <w:autoSpaceDN w:val="0"/>
              <w:spacing w:before="195" w:line="360" w:lineRule="auto"/>
              <w:ind w:left="108" w:right="1812"/>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时间：</w:t>
            </w:r>
            <w:r>
              <w:rPr>
                <w:rFonts w:ascii="宋体" w:hAnsi="宋体" w:eastAsia="宋体" w:cs="宋体"/>
                <w:kern w:val="0"/>
                <w:szCs w:val="21"/>
                <w:highlight w:val="none"/>
                <w:u w:val="single"/>
                <w:lang w:val="zh-CN" w:bidi="zh-CN"/>
              </w:rPr>
              <w:t xml:space="preserve"> </w:t>
            </w:r>
            <w:r>
              <w:rPr>
                <w:rFonts w:ascii="宋体" w:hAnsi="宋体" w:eastAsia="宋体" w:cs="宋体"/>
                <w:kern w:val="0"/>
                <w:szCs w:val="21"/>
                <w:highlight w:val="none"/>
                <w:u w:val="single"/>
                <w:lang w:val="zh-CN" w:bidi="zh-CN"/>
              </w:rPr>
              <w:tab/>
            </w:r>
            <w:r>
              <w:rPr>
                <w:rFonts w:ascii="宋体" w:hAnsi="宋体" w:eastAsia="宋体" w:cs="宋体"/>
                <w:kern w:val="0"/>
                <w:szCs w:val="21"/>
                <w:highlight w:val="none"/>
                <w:lang w:val="zh-CN" w:bidi="zh-CN"/>
              </w:rPr>
              <w:t>年</w:t>
            </w:r>
            <w:r>
              <w:rPr>
                <w:rFonts w:ascii="宋体" w:hAnsi="宋体" w:eastAsia="宋体" w:cs="宋体"/>
                <w:kern w:val="0"/>
                <w:szCs w:val="21"/>
                <w:highlight w:val="none"/>
                <w:u w:val="single"/>
                <w:lang w:val="zh-CN" w:bidi="zh-CN"/>
              </w:rPr>
              <w:t xml:space="preserve">  </w:t>
            </w:r>
            <w:r>
              <w:rPr>
                <w:rFonts w:ascii="宋体" w:hAnsi="宋体" w:eastAsia="宋体" w:cs="宋体"/>
                <w:kern w:val="0"/>
                <w:szCs w:val="21"/>
                <w:highlight w:val="none"/>
                <w:lang w:val="zh-CN" w:bidi="zh-CN"/>
              </w:rPr>
              <w:t>月</w:t>
            </w:r>
            <w:r>
              <w:rPr>
                <w:rFonts w:ascii="宋体" w:hAnsi="宋体" w:eastAsia="宋体" w:cs="宋体"/>
                <w:kern w:val="0"/>
                <w:szCs w:val="21"/>
                <w:highlight w:val="none"/>
                <w:u w:val="single"/>
                <w:lang w:val="zh-CN" w:bidi="zh-CN"/>
              </w:rPr>
              <w:t xml:space="preserve">  </w:t>
            </w:r>
            <w:r>
              <w:rPr>
                <w:rFonts w:ascii="宋体" w:hAnsi="宋体" w:eastAsia="宋体" w:cs="宋体"/>
                <w:kern w:val="0"/>
                <w:szCs w:val="21"/>
                <w:highlight w:val="none"/>
                <w:lang w:val="zh-CN" w:bidi="zh-CN"/>
              </w:rPr>
              <w:t>日</w:t>
            </w:r>
            <w:r>
              <w:rPr>
                <w:rFonts w:ascii="宋体" w:hAnsi="宋体" w:eastAsia="宋体" w:cs="宋体"/>
                <w:kern w:val="0"/>
                <w:szCs w:val="21"/>
                <w:highlight w:val="none"/>
                <w:u w:val="single"/>
                <w:lang w:val="zh-CN" w:bidi="zh-CN"/>
              </w:rPr>
              <w:t xml:space="preserve">  </w:t>
            </w:r>
            <w:r>
              <w:rPr>
                <w:rFonts w:ascii="宋体" w:hAnsi="宋体" w:eastAsia="宋体" w:cs="宋体"/>
                <w:kern w:val="0"/>
                <w:szCs w:val="21"/>
                <w:highlight w:val="none"/>
                <w:lang w:val="zh-CN" w:bidi="zh-CN"/>
              </w:rPr>
              <w:t>时</w:t>
            </w:r>
            <w:r>
              <w:rPr>
                <w:rFonts w:ascii="宋体" w:hAnsi="宋体" w:eastAsia="宋体" w:cs="宋体"/>
                <w:kern w:val="0"/>
                <w:szCs w:val="21"/>
                <w:highlight w:val="none"/>
                <w:u w:val="single"/>
                <w:lang w:val="zh-CN" w:bidi="zh-CN"/>
              </w:rPr>
              <w:t xml:space="preserve">  </w:t>
            </w:r>
            <w:r>
              <w:rPr>
                <w:rFonts w:ascii="宋体" w:hAnsi="宋体" w:eastAsia="宋体" w:cs="宋体"/>
                <w:kern w:val="0"/>
                <w:szCs w:val="21"/>
                <w:highlight w:val="none"/>
                <w:lang w:val="zh-CN" w:bidi="zh-CN"/>
              </w:rPr>
              <w:t>分</w:t>
            </w:r>
          </w:p>
          <w:p w14:paraId="1B2817BD">
            <w:pPr>
              <w:tabs>
                <w:tab w:val="left" w:pos="1308"/>
                <w:tab w:val="left" w:pos="3643"/>
              </w:tabs>
              <w:autoSpaceDE w:val="0"/>
              <w:autoSpaceDN w:val="0"/>
              <w:spacing w:before="195" w:line="360" w:lineRule="auto"/>
              <w:ind w:left="108" w:right="1812"/>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地点：</w:t>
            </w:r>
            <w:r>
              <w:rPr>
                <w:rFonts w:ascii="宋体" w:hAnsi="宋体" w:eastAsia="宋体" w:cs="宋体"/>
                <w:kern w:val="0"/>
                <w:szCs w:val="21"/>
                <w:highlight w:val="none"/>
                <w:u w:val="single"/>
                <w:lang w:val="zh-CN" w:bidi="zh-CN"/>
              </w:rPr>
              <w:t xml:space="preserve"> </w:t>
            </w:r>
            <w:r>
              <w:rPr>
                <w:rFonts w:ascii="宋体" w:hAnsi="宋体" w:eastAsia="宋体" w:cs="宋体"/>
                <w:kern w:val="0"/>
                <w:szCs w:val="21"/>
                <w:highlight w:val="none"/>
                <w:u w:val="single"/>
                <w:lang w:val="zh-CN" w:bidi="zh-CN"/>
              </w:rPr>
              <w:tab/>
            </w:r>
            <w:r>
              <w:rPr>
                <w:rFonts w:ascii="宋体" w:hAnsi="宋体" w:eastAsia="宋体" w:cs="宋体"/>
                <w:kern w:val="0"/>
                <w:szCs w:val="21"/>
                <w:highlight w:val="none"/>
                <w:u w:val="single"/>
                <w:lang w:val="zh-CN" w:bidi="zh-CN"/>
              </w:rPr>
              <w:tab/>
            </w:r>
          </w:p>
          <w:p w14:paraId="1131C957">
            <w:pPr>
              <w:tabs>
                <w:tab w:val="left" w:pos="4603"/>
              </w:tabs>
              <w:autoSpaceDE w:val="0"/>
              <w:autoSpaceDN w:val="0"/>
              <w:spacing w:before="2" w:line="360" w:lineRule="auto"/>
              <w:ind w:left="108"/>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现场考察联系人及联系电话：</w:t>
            </w:r>
            <w:r>
              <w:rPr>
                <w:rFonts w:ascii="宋体" w:hAnsi="宋体" w:eastAsia="宋体" w:cs="宋体"/>
                <w:kern w:val="0"/>
                <w:szCs w:val="21"/>
                <w:highlight w:val="none"/>
                <w:u w:val="single"/>
                <w:lang w:val="zh-CN" w:bidi="zh-CN"/>
              </w:rPr>
              <w:t xml:space="preserve"> </w:t>
            </w:r>
            <w:r>
              <w:rPr>
                <w:rFonts w:ascii="宋体" w:hAnsi="宋体" w:eastAsia="宋体" w:cs="宋体"/>
                <w:kern w:val="0"/>
                <w:szCs w:val="21"/>
                <w:highlight w:val="none"/>
                <w:u w:val="single"/>
                <w:lang w:val="zh-CN" w:bidi="zh-CN"/>
              </w:rPr>
              <w:tab/>
            </w:r>
          </w:p>
          <w:p w14:paraId="6C1833B4">
            <w:pPr>
              <w:autoSpaceDE w:val="0"/>
              <w:autoSpaceDN w:val="0"/>
              <w:spacing w:before="33" w:line="360" w:lineRule="auto"/>
              <w:ind w:left="108" w:right="98"/>
              <w:jc w:val="left"/>
              <w:rPr>
                <w:rFonts w:ascii="宋体" w:hAnsi="宋体" w:eastAsia="宋体" w:cs="宋体"/>
                <w:b/>
                <w:kern w:val="0"/>
                <w:szCs w:val="21"/>
                <w:highlight w:val="none"/>
                <w:lang w:val="zh-CN" w:bidi="zh-CN"/>
              </w:rPr>
            </w:pPr>
            <w:r>
              <w:rPr>
                <w:rFonts w:ascii="宋体" w:hAnsi="宋体" w:eastAsia="宋体" w:cs="宋体"/>
                <w:b/>
                <w:kern w:val="0"/>
                <w:szCs w:val="21"/>
                <w:highlight w:val="none"/>
                <w:lang w:val="zh-CN" w:bidi="zh-CN"/>
              </w:rPr>
              <w:t>备注：如供应商未参加采购人统一组织的现场考察，视同放弃现场考察，由此引起的一切责任由供应商自行承担。</w:t>
            </w:r>
          </w:p>
        </w:tc>
      </w:tr>
      <w:tr w14:paraId="41E20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947" w:type="dxa"/>
            <w:vMerge w:val="restart"/>
            <w:vAlign w:val="center"/>
          </w:tcPr>
          <w:p w14:paraId="09158577">
            <w:pPr>
              <w:autoSpaceDE w:val="0"/>
              <w:autoSpaceDN w:val="0"/>
              <w:spacing w:before="19" w:line="360" w:lineRule="auto"/>
              <w:ind w:left="107"/>
              <w:jc w:val="center"/>
              <w:rPr>
                <w:rFonts w:ascii="宋体" w:hAnsi="宋体" w:eastAsia="宋体" w:cs="宋体"/>
                <w:kern w:val="0"/>
                <w:szCs w:val="21"/>
                <w:highlight w:val="none"/>
                <w:lang w:val="zh-CN" w:eastAsia="en-US" w:bidi="zh-CN"/>
              </w:rPr>
            </w:pPr>
            <w:r>
              <w:rPr>
                <w:rFonts w:hint="eastAsia" w:ascii="宋体" w:hAnsi="宋体" w:eastAsia="宋体" w:cs="宋体"/>
                <w:kern w:val="0"/>
                <w:szCs w:val="21"/>
                <w:highlight w:val="none"/>
                <w:lang w:val="en-US" w:eastAsia="zh-CN" w:bidi="zh-CN"/>
              </w:rPr>
              <w:t>5</w:t>
            </w:r>
          </w:p>
        </w:tc>
        <w:tc>
          <w:tcPr>
            <w:tcW w:w="1995" w:type="dxa"/>
            <w:vMerge w:val="restart"/>
            <w:vAlign w:val="center"/>
          </w:tcPr>
          <w:p w14:paraId="4B6A849C">
            <w:pPr>
              <w:autoSpaceDE w:val="0"/>
              <w:autoSpaceDN w:val="0"/>
              <w:spacing w:line="360" w:lineRule="auto"/>
              <w:ind w:left="107"/>
              <w:jc w:val="left"/>
              <w:rPr>
                <w:rFonts w:ascii="宋体" w:hAnsi="宋体" w:eastAsia="宋体" w:cs="宋体"/>
                <w:kern w:val="0"/>
                <w:szCs w:val="21"/>
                <w:highlight w:val="none"/>
                <w:lang w:val="zh-CN" w:eastAsia="en-US" w:bidi="zh-CN"/>
              </w:rPr>
            </w:pPr>
            <w:r>
              <w:rPr>
                <w:rFonts w:ascii="宋体" w:hAnsi="宋体" w:eastAsia="宋体" w:cs="宋体"/>
                <w:kern w:val="0"/>
                <w:szCs w:val="21"/>
                <w:highlight w:val="none"/>
                <w:lang w:val="zh-CN" w:eastAsia="en-US" w:bidi="zh-CN"/>
              </w:rPr>
              <w:t>包别划分</w:t>
            </w:r>
          </w:p>
        </w:tc>
        <w:tc>
          <w:tcPr>
            <w:tcW w:w="5555" w:type="dxa"/>
            <w:vAlign w:val="center"/>
          </w:tcPr>
          <w:p w14:paraId="765EB38D">
            <w:pPr>
              <w:tabs>
                <w:tab w:val="left" w:pos="1668"/>
                <w:tab w:val="left" w:pos="2628"/>
              </w:tabs>
              <w:autoSpaceDE w:val="0"/>
              <w:autoSpaceDN w:val="0"/>
              <w:spacing w:before="16" w:line="360" w:lineRule="auto"/>
              <w:ind w:left="108"/>
              <w:jc w:val="left"/>
              <w:rPr>
                <w:rFonts w:ascii="宋体" w:hAnsi="宋体" w:eastAsia="宋体" w:cs="宋体"/>
                <w:kern w:val="0"/>
                <w:szCs w:val="21"/>
                <w:highlight w:val="none"/>
                <w:lang w:val="zh-CN" w:eastAsia="en-US" w:bidi="zh-CN"/>
              </w:rPr>
            </w:pPr>
            <w:r>
              <w:rPr>
                <w:rFonts w:hint="eastAsia" w:ascii="Segoe UI Symbol" w:hAnsi="Segoe UI Symbol" w:cs="Segoe UI Symbol"/>
                <w:szCs w:val="21"/>
                <w:highlight w:val="none"/>
                <w:lang w:eastAsia="zh-CN"/>
              </w:rPr>
              <w:t>□</w:t>
            </w:r>
            <w:r>
              <w:rPr>
                <w:rFonts w:ascii="宋体" w:hAnsi="宋体" w:eastAsia="宋体" w:cs="宋体"/>
                <w:kern w:val="0"/>
                <w:szCs w:val="21"/>
                <w:highlight w:val="none"/>
                <w:lang w:val="zh-CN" w:eastAsia="en-US" w:bidi="zh-CN"/>
              </w:rPr>
              <w:t>不分包</w:t>
            </w:r>
            <w:r>
              <w:rPr>
                <w:rFonts w:ascii="宋体" w:hAnsi="宋体" w:eastAsia="宋体" w:cs="宋体"/>
                <w:kern w:val="0"/>
                <w:szCs w:val="21"/>
                <w:highlight w:val="none"/>
                <w:lang w:val="zh-CN" w:eastAsia="en-US" w:bidi="zh-CN"/>
              </w:rPr>
              <w:tab/>
            </w:r>
            <w:r>
              <w:rPr>
                <w:rFonts w:hint="eastAsia" w:ascii="宋体" w:hAnsi="宋体" w:eastAsia="宋体" w:cs="宋体"/>
                <w:kern w:val="0"/>
                <w:szCs w:val="21"/>
                <w:highlight w:val="none"/>
                <w:lang w:val="zh-CN" w:eastAsia="en-US" w:bidi="zh-CN"/>
              </w:rPr>
              <w:t>☑</w:t>
            </w:r>
            <w:r>
              <w:rPr>
                <w:rFonts w:ascii="宋体" w:hAnsi="宋体" w:eastAsia="宋体" w:cs="宋体"/>
                <w:kern w:val="0"/>
                <w:szCs w:val="21"/>
                <w:highlight w:val="none"/>
                <w:lang w:val="zh-CN" w:eastAsia="en-US" w:bidi="zh-CN"/>
              </w:rPr>
              <w:t>分为</w:t>
            </w:r>
            <w:r>
              <w:rPr>
                <w:rFonts w:hint="eastAsia" w:ascii="宋体" w:hAnsi="宋体" w:eastAsia="宋体" w:cs="宋体"/>
                <w:kern w:val="0"/>
                <w:szCs w:val="21"/>
                <w:highlight w:val="none"/>
                <w:lang w:val="en-US" w:eastAsia="en-US" w:bidi="zh-CN"/>
              </w:rPr>
              <w:t>2</w:t>
            </w:r>
            <w:r>
              <w:rPr>
                <w:rFonts w:ascii="宋体" w:hAnsi="宋体" w:eastAsia="宋体" w:cs="宋体"/>
                <w:kern w:val="0"/>
                <w:szCs w:val="21"/>
                <w:highlight w:val="none"/>
                <w:lang w:val="zh-CN" w:eastAsia="en-US" w:bidi="zh-CN"/>
              </w:rPr>
              <w:t>个包</w:t>
            </w:r>
          </w:p>
        </w:tc>
      </w:tr>
      <w:tr w14:paraId="4BA9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947" w:type="dxa"/>
            <w:vMerge w:val="continue"/>
            <w:tcBorders>
              <w:top w:val="nil"/>
            </w:tcBorders>
            <w:vAlign w:val="center"/>
          </w:tcPr>
          <w:p w14:paraId="19D89797">
            <w:pPr>
              <w:autoSpaceDE w:val="0"/>
              <w:autoSpaceDN w:val="0"/>
              <w:spacing w:before="19" w:line="360" w:lineRule="auto"/>
              <w:ind w:left="107"/>
              <w:jc w:val="center"/>
              <w:rPr>
                <w:rFonts w:ascii="宋体" w:hAnsi="宋体" w:eastAsia="宋体" w:cs="宋体"/>
                <w:kern w:val="0"/>
                <w:szCs w:val="21"/>
                <w:highlight w:val="none"/>
                <w:lang w:val="zh-CN" w:eastAsia="en-US" w:bidi="zh-CN"/>
              </w:rPr>
            </w:pPr>
          </w:p>
        </w:tc>
        <w:tc>
          <w:tcPr>
            <w:tcW w:w="1995" w:type="dxa"/>
            <w:vMerge w:val="continue"/>
            <w:tcBorders>
              <w:top w:val="nil"/>
            </w:tcBorders>
            <w:vAlign w:val="center"/>
          </w:tcPr>
          <w:p w14:paraId="616AF23B">
            <w:pPr>
              <w:autoSpaceDE w:val="0"/>
              <w:autoSpaceDN w:val="0"/>
              <w:spacing w:line="360" w:lineRule="auto"/>
              <w:rPr>
                <w:rFonts w:ascii="宋体" w:hAnsi="宋体" w:eastAsia="宋体" w:cs="Times New Roman"/>
                <w:kern w:val="0"/>
                <w:szCs w:val="21"/>
                <w:highlight w:val="none"/>
                <w:lang w:eastAsia="en-US"/>
              </w:rPr>
            </w:pPr>
          </w:p>
        </w:tc>
        <w:tc>
          <w:tcPr>
            <w:tcW w:w="5555" w:type="dxa"/>
            <w:vAlign w:val="center"/>
          </w:tcPr>
          <w:p w14:paraId="3CF919D5">
            <w:pPr>
              <w:tabs>
                <w:tab w:val="left" w:pos="5415"/>
              </w:tabs>
              <w:autoSpaceDE w:val="0"/>
              <w:autoSpaceDN w:val="0"/>
              <w:spacing w:before="19" w:line="360" w:lineRule="auto"/>
              <w:ind w:left="108"/>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供应商对多个包进行报价的成交包数规定：</w:t>
            </w:r>
            <w:r>
              <w:rPr>
                <w:rFonts w:ascii="宋体" w:hAnsi="宋体" w:eastAsia="宋体" w:cs="宋体"/>
                <w:kern w:val="0"/>
                <w:szCs w:val="21"/>
                <w:highlight w:val="none"/>
                <w:u w:val="single"/>
                <w:lang w:val="zh-CN" w:eastAsia="en-US" w:bidi="zh-CN"/>
              </w:rPr>
              <w:t>详见</w:t>
            </w:r>
            <w:r>
              <w:rPr>
                <w:rFonts w:hint="eastAsia" w:ascii="宋体" w:hAnsi="宋体" w:eastAsia="宋体" w:cs="宋体"/>
                <w:kern w:val="0"/>
                <w:szCs w:val="21"/>
                <w:highlight w:val="none"/>
                <w:u w:val="single"/>
                <w:lang w:val="en-US" w:eastAsia="en-US" w:bidi="zh-CN"/>
              </w:rPr>
              <w:t>谈判</w:t>
            </w:r>
            <w:r>
              <w:rPr>
                <w:rFonts w:ascii="宋体" w:hAnsi="宋体" w:eastAsia="宋体" w:cs="宋体"/>
                <w:kern w:val="0"/>
                <w:szCs w:val="21"/>
                <w:highlight w:val="none"/>
                <w:u w:val="single"/>
                <w:lang w:val="zh-CN" w:eastAsia="en-US" w:bidi="zh-CN"/>
              </w:rPr>
              <w:t>公告</w:t>
            </w:r>
            <w:r>
              <w:rPr>
                <w:rFonts w:ascii="宋体" w:hAnsi="宋体" w:eastAsia="宋体" w:cs="宋体"/>
                <w:kern w:val="0"/>
                <w:szCs w:val="21"/>
                <w:highlight w:val="none"/>
                <w:u w:val="single"/>
                <w:lang w:val="zh-CN" w:bidi="zh-CN"/>
              </w:rPr>
              <w:tab/>
            </w:r>
          </w:p>
        </w:tc>
      </w:tr>
      <w:tr w14:paraId="0F2D5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947" w:type="dxa"/>
            <w:vAlign w:val="center"/>
          </w:tcPr>
          <w:p w14:paraId="4F80C48E">
            <w:pPr>
              <w:autoSpaceDE w:val="0"/>
              <w:autoSpaceDN w:val="0"/>
              <w:spacing w:before="19" w:line="360" w:lineRule="auto"/>
              <w:ind w:left="107"/>
              <w:jc w:val="center"/>
              <w:rPr>
                <w:rFonts w:ascii="宋体" w:hAnsi="宋体" w:eastAsia="宋体" w:cs="宋体"/>
                <w:kern w:val="0"/>
                <w:szCs w:val="21"/>
                <w:highlight w:val="none"/>
                <w:lang w:val="zh-CN" w:eastAsia="en-US" w:bidi="zh-CN"/>
              </w:rPr>
            </w:pPr>
            <w:r>
              <w:rPr>
                <w:rFonts w:hint="eastAsia" w:ascii="宋体" w:hAnsi="宋体" w:eastAsia="宋体" w:cs="宋体"/>
                <w:kern w:val="0"/>
                <w:szCs w:val="21"/>
                <w:highlight w:val="none"/>
                <w:lang w:val="en-US" w:eastAsia="zh-CN" w:bidi="zh-CN"/>
              </w:rPr>
              <w:t>6</w:t>
            </w:r>
          </w:p>
        </w:tc>
        <w:tc>
          <w:tcPr>
            <w:tcW w:w="1995" w:type="dxa"/>
            <w:vAlign w:val="center"/>
          </w:tcPr>
          <w:p w14:paraId="65B6E943">
            <w:pPr>
              <w:autoSpaceDE w:val="0"/>
              <w:autoSpaceDN w:val="0"/>
              <w:spacing w:before="16" w:line="360" w:lineRule="auto"/>
              <w:ind w:left="107"/>
              <w:jc w:val="left"/>
              <w:rPr>
                <w:rFonts w:ascii="宋体" w:hAnsi="宋体" w:eastAsia="宋体" w:cs="宋体"/>
                <w:kern w:val="0"/>
                <w:szCs w:val="21"/>
                <w:highlight w:val="none"/>
                <w:lang w:val="zh-CN" w:eastAsia="en-US" w:bidi="zh-CN"/>
              </w:rPr>
            </w:pPr>
            <w:r>
              <w:rPr>
                <w:rFonts w:hint="eastAsia" w:ascii="宋体" w:hAnsi="宋体" w:eastAsia="宋体" w:cs="宋体"/>
                <w:kern w:val="0"/>
                <w:szCs w:val="21"/>
                <w:highlight w:val="none"/>
                <w:lang w:val="en-US" w:eastAsia="en-US" w:bidi="zh-CN"/>
              </w:rPr>
              <w:t>谈判</w:t>
            </w:r>
            <w:r>
              <w:rPr>
                <w:rFonts w:ascii="宋体" w:hAnsi="宋体" w:eastAsia="宋体" w:cs="宋体"/>
                <w:kern w:val="0"/>
                <w:szCs w:val="21"/>
                <w:highlight w:val="none"/>
                <w:lang w:val="zh-CN" w:eastAsia="en-US" w:bidi="zh-CN"/>
              </w:rPr>
              <w:t>有效期</w:t>
            </w:r>
          </w:p>
        </w:tc>
        <w:tc>
          <w:tcPr>
            <w:tcW w:w="5555" w:type="dxa"/>
            <w:vAlign w:val="center"/>
          </w:tcPr>
          <w:p w14:paraId="220487F0">
            <w:pPr>
              <w:tabs>
                <w:tab w:val="left" w:pos="828"/>
              </w:tabs>
              <w:autoSpaceDE w:val="0"/>
              <w:autoSpaceDN w:val="0"/>
              <w:spacing w:before="16" w:line="360" w:lineRule="auto"/>
              <w:ind w:left="108"/>
              <w:jc w:val="left"/>
              <w:rPr>
                <w:rFonts w:ascii="宋体" w:hAnsi="宋体" w:eastAsia="宋体" w:cs="宋体"/>
                <w:kern w:val="0"/>
                <w:szCs w:val="21"/>
                <w:highlight w:val="none"/>
                <w:lang w:val="zh-CN" w:eastAsia="en-US" w:bidi="zh-CN"/>
              </w:rPr>
            </w:pPr>
            <w:r>
              <w:rPr>
                <w:rFonts w:hint="eastAsia" w:ascii="宋体" w:hAnsi="宋体" w:eastAsia="宋体" w:cs="宋体"/>
                <w:kern w:val="0"/>
                <w:szCs w:val="21"/>
                <w:highlight w:val="none"/>
                <w:u w:val="single"/>
                <w:lang w:val="en-US" w:eastAsia="en-US" w:bidi="zh-CN"/>
              </w:rPr>
              <w:t>30</w:t>
            </w:r>
            <w:r>
              <w:rPr>
                <w:rFonts w:hint="eastAsia" w:ascii="宋体" w:hAnsi="宋体" w:eastAsia="宋体" w:cs="宋体"/>
                <w:kern w:val="0"/>
                <w:szCs w:val="21"/>
                <w:highlight w:val="none"/>
                <w:u w:val="none"/>
                <w:lang w:val="en-US" w:eastAsia="en-US" w:bidi="zh-CN"/>
              </w:rPr>
              <w:t>个</w:t>
            </w:r>
            <w:r>
              <w:rPr>
                <w:rFonts w:ascii="宋体" w:hAnsi="宋体" w:eastAsia="宋体" w:cs="宋体"/>
                <w:kern w:val="0"/>
                <w:szCs w:val="21"/>
                <w:highlight w:val="none"/>
                <w:lang w:val="zh-CN" w:eastAsia="en-US" w:bidi="zh-CN"/>
              </w:rPr>
              <w:t>日历</w:t>
            </w:r>
            <w:r>
              <w:rPr>
                <w:rFonts w:hint="eastAsia" w:ascii="宋体" w:hAnsi="宋体" w:eastAsia="宋体" w:cs="宋体"/>
                <w:kern w:val="0"/>
                <w:szCs w:val="21"/>
                <w:highlight w:val="none"/>
                <w:lang w:val="en-US" w:eastAsia="en-US" w:bidi="zh-CN"/>
              </w:rPr>
              <w:t>天</w:t>
            </w:r>
          </w:p>
        </w:tc>
      </w:tr>
      <w:tr w14:paraId="1EFF6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jc w:val="center"/>
        </w:trPr>
        <w:tc>
          <w:tcPr>
            <w:tcW w:w="947" w:type="dxa"/>
            <w:vAlign w:val="center"/>
          </w:tcPr>
          <w:p w14:paraId="1999CBD8">
            <w:pPr>
              <w:autoSpaceDE w:val="0"/>
              <w:autoSpaceDN w:val="0"/>
              <w:spacing w:before="19" w:line="360" w:lineRule="auto"/>
              <w:ind w:left="107"/>
              <w:jc w:val="center"/>
              <w:rPr>
                <w:rFonts w:hint="default" w:ascii="宋体" w:hAnsi="宋体" w:eastAsia="宋体" w:cs="宋体"/>
                <w:kern w:val="0"/>
                <w:szCs w:val="21"/>
                <w:highlight w:val="none"/>
                <w:lang w:val="en-US" w:eastAsia="en-US" w:bidi="zh-CN"/>
              </w:rPr>
            </w:pPr>
            <w:r>
              <w:rPr>
                <w:rFonts w:hint="eastAsia" w:ascii="宋体" w:hAnsi="宋体" w:eastAsia="宋体" w:cs="宋体"/>
                <w:kern w:val="0"/>
                <w:szCs w:val="21"/>
                <w:highlight w:val="none"/>
                <w:lang w:val="en-US" w:eastAsia="zh-CN" w:bidi="zh-CN"/>
              </w:rPr>
              <w:t>7</w:t>
            </w:r>
          </w:p>
        </w:tc>
        <w:tc>
          <w:tcPr>
            <w:tcW w:w="1995" w:type="dxa"/>
            <w:vAlign w:val="center"/>
          </w:tcPr>
          <w:p w14:paraId="3A074DDB">
            <w:pPr>
              <w:autoSpaceDE w:val="0"/>
              <w:autoSpaceDN w:val="0"/>
              <w:spacing w:before="16" w:line="360" w:lineRule="auto"/>
              <w:ind w:left="107"/>
              <w:jc w:val="left"/>
              <w:rPr>
                <w:rFonts w:hint="default" w:ascii="宋体" w:hAnsi="宋体" w:eastAsia="宋体" w:cs="宋体"/>
                <w:kern w:val="0"/>
                <w:szCs w:val="21"/>
                <w:highlight w:val="none"/>
                <w:lang w:val="en-US" w:eastAsia="en-US" w:bidi="zh-CN"/>
              </w:rPr>
            </w:pPr>
            <w:r>
              <w:rPr>
                <w:rFonts w:hint="eastAsia" w:ascii="宋体" w:hAnsi="宋体" w:eastAsia="宋体" w:cs="宋体"/>
                <w:kern w:val="0"/>
                <w:szCs w:val="21"/>
                <w:highlight w:val="none"/>
                <w:lang w:val="en-US" w:eastAsia="en-US" w:bidi="zh-CN"/>
              </w:rPr>
              <w:t>谈判保证金</w:t>
            </w:r>
          </w:p>
        </w:tc>
        <w:tc>
          <w:tcPr>
            <w:tcW w:w="5555" w:type="dxa"/>
            <w:vAlign w:val="center"/>
          </w:tcPr>
          <w:p w14:paraId="0328E503">
            <w:pPr>
              <w:tabs>
                <w:tab w:val="left" w:pos="828"/>
              </w:tabs>
              <w:autoSpaceDE w:val="0"/>
              <w:autoSpaceDN w:val="0"/>
              <w:spacing w:before="16" w:line="360" w:lineRule="auto"/>
              <w:ind w:left="108"/>
              <w:jc w:val="left"/>
              <w:rPr>
                <w:rFonts w:hint="default" w:ascii="宋体" w:hAnsi="宋体" w:eastAsia="宋体" w:cs="宋体"/>
                <w:kern w:val="0"/>
                <w:szCs w:val="21"/>
                <w:highlight w:val="none"/>
                <w:u w:val="single"/>
                <w:lang w:val="en-US" w:eastAsia="en-US" w:bidi="zh-CN"/>
              </w:rPr>
            </w:pPr>
            <w:r>
              <w:rPr>
                <w:rFonts w:hint="eastAsia" w:ascii="宋体" w:hAnsi="宋体" w:eastAsia="宋体" w:cs="宋体"/>
                <w:kern w:val="0"/>
                <w:szCs w:val="21"/>
                <w:highlight w:val="none"/>
                <w:u w:val="single"/>
                <w:lang w:val="en-US" w:eastAsia="en-US" w:bidi="zh-CN"/>
              </w:rPr>
              <w:t>免收</w:t>
            </w:r>
          </w:p>
        </w:tc>
      </w:tr>
      <w:tr w14:paraId="7E330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947" w:type="dxa"/>
            <w:vAlign w:val="center"/>
          </w:tcPr>
          <w:p w14:paraId="0FF74FB6">
            <w:pPr>
              <w:autoSpaceDE w:val="0"/>
              <w:autoSpaceDN w:val="0"/>
              <w:spacing w:before="19" w:line="360" w:lineRule="auto"/>
              <w:ind w:left="107"/>
              <w:jc w:val="center"/>
              <w:rPr>
                <w:rFonts w:hint="eastAsia" w:ascii="宋体" w:hAnsi="宋体" w:eastAsia="宋体" w:cs="宋体"/>
                <w:kern w:val="0"/>
                <w:szCs w:val="21"/>
                <w:highlight w:val="none"/>
                <w:lang w:val="zh-CN" w:eastAsia="en-US" w:bidi="zh-CN"/>
              </w:rPr>
            </w:pPr>
            <w:r>
              <w:rPr>
                <w:rFonts w:hint="eastAsia" w:ascii="宋体" w:hAnsi="宋体" w:eastAsia="宋体" w:cs="宋体"/>
                <w:kern w:val="0"/>
                <w:szCs w:val="21"/>
                <w:highlight w:val="none"/>
                <w:lang w:val="en-US" w:eastAsia="zh-CN" w:bidi="zh-CN"/>
              </w:rPr>
              <w:t>8</w:t>
            </w:r>
          </w:p>
        </w:tc>
        <w:tc>
          <w:tcPr>
            <w:tcW w:w="1995" w:type="dxa"/>
            <w:vAlign w:val="center"/>
          </w:tcPr>
          <w:p w14:paraId="22DFE370">
            <w:pPr>
              <w:autoSpaceDE w:val="0"/>
              <w:autoSpaceDN w:val="0"/>
              <w:spacing w:before="160" w:line="360" w:lineRule="auto"/>
              <w:ind w:left="107"/>
              <w:jc w:val="left"/>
              <w:rPr>
                <w:rFonts w:ascii="宋体" w:hAnsi="宋体" w:eastAsia="宋体" w:cs="宋体"/>
                <w:kern w:val="0"/>
                <w:szCs w:val="21"/>
                <w:highlight w:val="none"/>
                <w:lang w:val="zh-CN" w:bidi="zh-CN"/>
              </w:rPr>
            </w:pPr>
            <w:r>
              <w:rPr>
                <w:sz w:val="21"/>
                <w:szCs w:val="21"/>
                <w:highlight w:val="none"/>
                <w:lang w:eastAsia="en-US"/>
              </w:rPr>
              <w:t>响应文件要求</w:t>
            </w:r>
          </w:p>
        </w:tc>
        <w:tc>
          <w:tcPr>
            <w:tcW w:w="5555" w:type="dxa"/>
            <w:vAlign w:val="center"/>
          </w:tcPr>
          <w:p w14:paraId="708ABD7F">
            <w:pPr>
              <w:tabs>
                <w:tab w:val="left" w:pos="5415"/>
              </w:tabs>
              <w:autoSpaceDE w:val="0"/>
              <w:autoSpaceDN w:val="0"/>
              <w:spacing w:before="19" w:line="360" w:lineRule="auto"/>
              <w:ind w:left="108"/>
              <w:jc w:val="left"/>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本项目采用电子邮箱接收投标文件，不再进行现场递交，具体办法如下：</w:t>
            </w:r>
          </w:p>
          <w:p w14:paraId="3B42E119">
            <w:pPr>
              <w:tabs>
                <w:tab w:val="left" w:pos="5415"/>
              </w:tabs>
              <w:autoSpaceDE w:val="0"/>
              <w:autoSpaceDN w:val="0"/>
              <w:spacing w:before="19" w:line="360" w:lineRule="auto"/>
              <w:ind w:left="108"/>
              <w:jc w:val="left"/>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1.电子邮箱地址：zhaocai@fysthj.com</w:t>
            </w:r>
          </w:p>
          <w:p w14:paraId="77C3E38C">
            <w:pPr>
              <w:tabs>
                <w:tab w:val="left" w:pos="5415"/>
              </w:tabs>
              <w:autoSpaceDE w:val="0"/>
              <w:autoSpaceDN w:val="0"/>
              <w:spacing w:before="19" w:line="360" w:lineRule="auto"/>
              <w:ind w:left="108"/>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en-US" w:eastAsia="zh-CN" w:bidi="zh-CN"/>
              </w:rPr>
              <w:t>2.电子版投标文件的递交方式</w:t>
            </w:r>
            <w:r>
              <w:rPr>
                <w:rFonts w:ascii="宋体" w:hAnsi="宋体" w:eastAsia="宋体" w:cs="宋体"/>
                <w:kern w:val="0"/>
                <w:szCs w:val="21"/>
                <w:highlight w:val="none"/>
                <w:u w:val="single"/>
                <w:lang w:val="zh-CN" w:eastAsia="en-US" w:bidi="zh-CN"/>
              </w:rPr>
              <w:t>详见</w:t>
            </w:r>
            <w:r>
              <w:rPr>
                <w:rFonts w:hint="eastAsia" w:ascii="宋体" w:hAnsi="宋体" w:eastAsia="宋体" w:cs="宋体"/>
                <w:kern w:val="0"/>
                <w:szCs w:val="21"/>
                <w:highlight w:val="none"/>
                <w:u w:val="single"/>
                <w:lang w:val="en-US" w:eastAsia="en-US" w:bidi="zh-CN"/>
              </w:rPr>
              <w:t>谈判</w:t>
            </w:r>
            <w:r>
              <w:rPr>
                <w:rFonts w:ascii="宋体" w:hAnsi="宋体" w:eastAsia="宋体" w:cs="宋体"/>
                <w:kern w:val="0"/>
                <w:szCs w:val="21"/>
                <w:highlight w:val="none"/>
                <w:u w:val="single"/>
                <w:lang w:val="zh-CN" w:eastAsia="en-US" w:bidi="zh-CN"/>
              </w:rPr>
              <w:t>公告</w:t>
            </w:r>
            <w:r>
              <w:rPr>
                <w:rFonts w:hint="eastAsia" w:ascii="宋体" w:hAnsi="宋体" w:eastAsia="宋体" w:cs="宋体"/>
                <w:kern w:val="0"/>
                <w:szCs w:val="21"/>
                <w:highlight w:val="none"/>
                <w:lang w:val="en-US" w:eastAsia="zh-CN" w:bidi="zh-CN"/>
              </w:rPr>
              <w:t>。</w:t>
            </w:r>
          </w:p>
        </w:tc>
      </w:tr>
      <w:tr w14:paraId="1F3E0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947" w:type="dxa"/>
            <w:vAlign w:val="center"/>
          </w:tcPr>
          <w:p w14:paraId="602D5476">
            <w:pPr>
              <w:autoSpaceDE w:val="0"/>
              <w:autoSpaceDN w:val="0"/>
              <w:spacing w:before="19" w:line="360" w:lineRule="auto"/>
              <w:ind w:left="107"/>
              <w:jc w:val="center"/>
              <w:rPr>
                <w:rFonts w:hint="default" w:ascii="宋体" w:hAnsi="宋体" w:eastAsia="宋体" w:cs="宋体"/>
                <w:kern w:val="0"/>
                <w:szCs w:val="21"/>
                <w:highlight w:val="none"/>
                <w:lang w:val="en-US" w:eastAsia="en-US" w:bidi="zh-CN"/>
              </w:rPr>
            </w:pPr>
            <w:r>
              <w:rPr>
                <w:rFonts w:hint="eastAsia" w:ascii="宋体" w:hAnsi="宋体" w:eastAsia="宋体" w:cs="宋体"/>
                <w:kern w:val="0"/>
                <w:szCs w:val="21"/>
                <w:highlight w:val="none"/>
                <w:lang w:val="en-US" w:eastAsia="zh-CN" w:bidi="zh-CN"/>
              </w:rPr>
              <w:t>9</w:t>
            </w:r>
          </w:p>
        </w:tc>
        <w:tc>
          <w:tcPr>
            <w:tcW w:w="1995" w:type="dxa"/>
            <w:vAlign w:val="center"/>
          </w:tcPr>
          <w:p w14:paraId="5A0BEAF5">
            <w:pPr>
              <w:autoSpaceDE w:val="0"/>
              <w:autoSpaceDN w:val="0"/>
              <w:spacing w:before="160" w:line="360" w:lineRule="auto"/>
              <w:ind w:left="107"/>
              <w:jc w:val="left"/>
              <w:rPr>
                <w:rFonts w:ascii="宋体" w:hAnsi="宋体" w:eastAsia="宋体" w:cs="宋体"/>
                <w:kern w:val="0"/>
                <w:szCs w:val="21"/>
                <w:highlight w:val="none"/>
                <w:lang w:val="zh-CN" w:bidi="zh-CN"/>
              </w:rPr>
            </w:pPr>
            <w:r>
              <w:rPr>
                <w:rFonts w:hint="eastAsia"/>
                <w:sz w:val="21"/>
                <w:szCs w:val="21"/>
                <w:highlight w:val="none"/>
                <w:lang w:val="en-US" w:eastAsia="zh-CN"/>
              </w:rPr>
              <w:t>谈判</w:t>
            </w:r>
            <w:r>
              <w:rPr>
                <w:sz w:val="21"/>
                <w:szCs w:val="21"/>
                <w:highlight w:val="none"/>
              </w:rPr>
              <w:t>现场提交的其他材料要求</w:t>
            </w:r>
          </w:p>
        </w:tc>
        <w:tc>
          <w:tcPr>
            <w:tcW w:w="5555" w:type="dxa"/>
            <w:vAlign w:val="center"/>
          </w:tcPr>
          <w:p w14:paraId="55A4CE33">
            <w:pPr>
              <w:tabs>
                <w:tab w:val="left" w:pos="3588"/>
              </w:tabs>
              <w:autoSpaceDE w:val="0"/>
              <w:autoSpaceDN w:val="0"/>
              <w:spacing w:before="19" w:line="360" w:lineRule="auto"/>
              <w:ind w:left="108"/>
              <w:jc w:val="left"/>
              <w:rPr>
                <w:rFonts w:ascii="宋体" w:hAnsi="宋体" w:eastAsia="宋体" w:cs="宋体"/>
                <w:kern w:val="0"/>
                <w:szCs w:val="21"/>
                <w:highlight w:val="none"/>
                <w:u w:val="single"/>
                <w:lang w:val="zh-CN" w:eastAsia="en-US" w:bidi="zh-CN"/>
              </w:rPr>
            </w:pPr>
            <w:r>
              <w:rPr>
                <w:rFonts w:hint="eastAsia" w:ascii="宋体" w:hAnsi="宋体" w:eastAsia="宋体" w:cs="宋体"/>
                <w:kern w:val="0"/>
                <w:szCs w:val="21"/>
                <w:highlight w:val="none"/>
                <w:lang w:val="en-US" w:bidi="zh-CN"/>
              </w:rPr>
              <w:t>无</w:t>
            </w:r>
          </w:p>
        </w:tc>
      </w:tr>
      <w:tr w14:paraId="31B5A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947" w:type="dxa"/>
            <w:vAlign w:val="center"/>
          </w:tcPr>
          <w:p w14:paraId="7594D697">
            <w:pPr>
              <w:autoSpaceDE w:val="0"/>
              <w:autoSpaceDN w:val="0"/>
              <w:spacing w:before="19" w:line="360" w:lineRule="auto"/>
              <w:ind w:left="107"/>
              <w:jc w:val="center"/>
              <w:rPr>
                <w:rFonts w:hint="default" w:ascii="宋体" w:hAnsi="宋体" w:eastAsia="宋体" w:cs="宋体"/>
                <w:kern w:val="0"/>
                <w:szCs w:val="21"/>
                <w:highlight w:val="none"/>
                <w:lang w:val="en-US" w:eastAsia="en-US" w:bidi="zh-CN"/>
              </w:rPr>
            </w:pPr>
            <w:r>
              <w:rPr>
                <w:rFonts w:hint="eastAsia" w:ascii="宋体" w:hAnsi="宋体" w:eastAsia="宋体" w:cs="宋体"/>
                <w:kern w:val="0"/>
                <w:szCs w:val="21"/>
                <w:highlight w:val="none"/>
                <w:lang w:val="en-US" w:eastAsia="zh-CN" w:bidi="zh-CN"/>
              </w:rPr>
              <w:t>10</w:t>
            </w:r>
          </w:p>
        </w:tc>
        <w:tc>
          <w:tcPr>
            <w:tcW w:w="1995" w:type="dxa"/>
            <w:vAlign w:val="center"/>
          </w:tcPr>
          <w:p w14:paraId="7F2C1F4A">
            <w:pPr>
              <w:autoSpaceDE w:val="0"/>
              <w:autoSpaceDN w:val="0"/>
              <w:spacing w:line="360" w:lineRule="auto"/>
              <w:ind w:left="107"/>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响应文件提交截</w:t>
            </w:r>
          </w:p>
          <w:p w14:paraId="2312EBD2">
            <w:pPr>
              <w:autoSpaceDE w:val="0"/>
              <w:autoSpaceDN w:val="0"/>
              <w:spacing w:before="160" w:line="360" w:lineRule="auto"/>
              <w:ind w:left="107"/>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止时间</w:t>
            </w:r>
          </w:p>
        </w:tc>
        <w:tc>
          <w:tcPr>
            <w:tcW w:w="5555" w:type="dxa"/>
            <w:vAlign w:val="center"/>
          </w:tcPr>
          <w:p w14:paraId="6CFE256B">
            <w:pPr>
              <w:autoSpaceDE w:val="0"/>
              <w:autoSpaceDN w:val="0"/>
              <w:spacing w:line="360" w:lineRule="auto"/>
              <w:ind w:left="108"/>
              <w:jc w:val="left"/>
              <w:rPr>
                <w:rFonts w:ascii="宋体" w:hAnsi="宋体" w:eastAsia="宋体" w:cs="宋体"/>
                <w:kern w:val="0"/>
                <w:szCs w:val="21"/>
                <w:highlight w:val="none"/>
                <w:lang w:val="zh-CN" w:eastAsia="en-US" w:bidi="zh-CN"/>
              </w:rPr>
            </w:pPr>
            <w:r>
              <w:rPr>
                <w:rFonts w:ascii="宋体" w:hAnsi="宋体" w:eastAsia="宋体" w:cs="宋体"/>
                <w:kern w:val="0"/>
                <w:szCs w:val="21"/>
                <w:highlight w:val="none"/>
                <w:u w:val="single"/>
                <w:lang w:val="zh-CN" w:eastAsia="en-US" w:bidi="zh-CN"/>
              </w:rPr>
              <w:t>详见</w:t>
            </w:r>
            <w:r>
              <w:rPr>
                <w:rFonts w:hint="eastAsia" w:ascii="宋体" w:hAnsi="宋体" w:eastAsia="宋体" w:cs="宋体"/>
                <w:kern w:val="0"/>
                <w:szCs w:val="21"/>
                <w:highlight w:val="none"/>
                <w:u w:val="single"/>
                <w:lang w:val="en-US" w:eastAsia="en-US" w:bidi="zh-CN"/>
              </w:rPr>
              <w:t>谈判</w:t>
            </w:r>
            <w:r>
              <w:rPr>
                <w:rFonts w:ascii="宋体" w:hAnsi="宋体" w:eastAsia="宋体" w:cs="宋体"/>
                <w:kern w:val="0"/>
                <w:szCs w:val="21"/>
                <w:highlight w:val="none"/>
                <w:u w:val="single"/>
                <w:lang w:val="zh-CN" w:eastAsia="en-US" w:bidi="zh-CN"/>
              </w:rPr>
              <w:t>公告</w:t>
            </w:r>
          </w:p>
        </w:tc>
      </w:tr>
      <w:tr w14:paraId="05FAE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947" w:type="dxa"/>
            <w:vAlign w:val="center"/>
          </w:tcPr>
          <w:p w14:paraId="1598292D">
            <w:pPr>
              <w:autoSpaceDE w:val="0"/>
              <w:autoSpaceDN w:val="0"/>
              <w:spacing w:before="19" w:line="360" w:lineRule="auto"/>
              <w:ind w:left="107"/>
              <w:jc w:val="center"/>
              <w:rPr>
                <w:rFonts w:hint="eastAsia" w:ascii="宋体" w:hAnsi="宋体" w:eastAsia="宋体" w:cs="宋体"/>
                <w:kern w:val="0"/>
                <w:szCs w:val="21"/>
                <w:highlight w:val="none"/>
                <w:lang w:val="en-US" w:eastAsia="en-US" w:bidi="zh-CN"/>
              </w:rPr>
            </w:pPr>
            <w:r>
              <w:rPr>
                <w:rFonts w:hint="eastAsia" w:ascii="宋体" w:hAnsi="宋体" w:eastAsia="宋体" w:cs="宋体"/>
                <w:kern w:val="0"/>
                <w:szCs w:val="21"/>
                <w:highlight w:val="none"/>
                <w:lang w:val="en-US" w:eastAsia="zh-CN" w:bidi="zh-CN"/>
              </w:rPr>
              <w:t>11</w:t>
            </w:r>
          </w:p>
        </w:tc>
        <w:tc>
          <w:tcPr>
            <w:tcW w:w="1995" w:type="dxa"/>
            <w:shd w:val="clear" w:color="auto" w:fill="auto"/>
            <w:vAlign w:val="center"/>
          </w:tcPr>
          <w:p w14:paraId="3A246FB8">
            <w:pPr>
              <w:autoSpaceDE w:val="0"/>
              <w:autoSpaceDN w:val="0"/>
              <w:spacing w:line="360" w:lineRule="auto"/>
              <w:ind w:left="107"/>
              <w:jc w:val="left"/>
              <w:rPr>
                <w:rFonts w:hint="eastAsia" w:ascii="宋体" w:hAnsi="宋体" w:eastAsia="宋体" w:cs="宋体"/>
                <w:kern w:val="0"/>
                <w:sz w:val="24"/>
                <w:szCs w:val="24"/>
                <w:highlight w:val="none"/>
                <w:lang w:val="zh-CN" w:eastAsia="en-US" w:bidi="zh-CN"/>
              </w:rPr>
            </w:pPr>
            <w:r>
              <w:rPr>
                <w:rFonts w:hint="eastAsia" w:ascii="宋体" w:hAnsi="宋体" w:eastAsia="宋体" w:cs="宋体"/>
                <w:kern w:val="0"/>
                <w:szCs w:val="21"/>
                <w:highlight w:val="none"/>
                <w:lang w:val="zh-CN" w:eastAsia="en-US" w:bidi="zh-CN"/>
              </w:rPr>
              <w:t>评审方法</w:t>
            </w:r>
          </w:p>
        </w:tc>
        <w:tc>
          <w:tcPr>
            <w:tcW w:w="5555" w:type="dxa"/>
            <w:shd w:val="clear" w:color="auto" w:fill="auto"/>
            <w:vAlign w:val="center"/>
          </w:tcPr>
          <w:p w14:paraId="1B47F37E">
            <w:pPr>
              <w:autoSpaceDE w:val="0"/>
              <w:autoSpaceDN w:val="0"/>
              <w:spacing w:line="360" w:lineRule="auto"/>
              <w:ind w:left="107"/>
              <w:jc w:val="left"/>
              <w:rPr>
                <w:rFonts w:hint="eastAsia" w:ascii="宋体" w:hAnsi="宋体" w:eastAsia="宋体" w:cs="宋体"/>
                <w:kern w:val="0"/>
                <w:sz w:val="24"/>
                <w:szCs w:val="24"/>
                <w:highlight w:val="none"/>
                <w:u w:val="single"/>
                <w:lang w:val="zh-CN" w:eastAsia="en-US" w:bidi="zh-CN"/>
              </w:rPr>
            </w:pPr>
            <w:r>
              <w:rPr>
                <w:rFonts w:hint="eastAsia" w:ascii="宋体" w:hAnsi="宋体" w:eastAsia="宋体" w:cs="宋体"/>
                <w:kern w:val="0"/>
                <w:szCs w:val="21"/>
                <w:highlight w:val="none"/>
                <w:lang w:val="zh-CN" w:eastAsia="zh-CN" w:bidi="zh-CN"/>
              </w:rPr>
              <w:t>☑</w:t>
            </w:r>
            <w:r>
              <w:rPr>
                <w:rFonts w:hint="eastAsia" w:ascii="宋体" w:hAnsi="宋体" w:eastAsia="宋体" w:cs="宋体"/>
                <w:kern w:val="0"/>
                <w:szCs w:val="21"/>
                <w:highlight w:val="none"/>
                <w:lang w:val="zh-CN" w:eastAsia="en-US" w:bidi="zh-CN"/>
              </w:rPr>
              <w:t>最低评审价法</w:t>
            </w:r>
          </w:p>
        </w:tc>
      </w:tr>
      <w:tr w14:paraId="60B6A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947" w:type="dxa"/>
            <w:vAlign w:val="center"/>
          </w:tcPr>
          <w:p w14:paraId="744E0AB1">
            <w:pPr>
              <w:autoSpaceDE w:val="0"/>
              <w:autoSpaceDN w:val="0"/>
              <w:spacing w:before="19" w:line="360" w:lineRule="auto"/>
              <w:ind w:left="107"/>
              <w:jc w:val="center"/>
              <w:rPr>
                <w:rFonts w:hint="default" w:ascii="宋体" w:hAnsi="宋体" w:eastAsia="宋体" w:cs="宋体"/>
                <w:kern w:val="0"/>
                <w:szCs w:val="21"/>
                <w:highlight w:val="none"/>
                <w:lang w:val="en-US" w:eastAsia="en-US" w:bidi="zh-CN"/>
              </w:rPr>
            </w:pPr>
            <w:r>
              <w:rPr>
                <w:rFonts w:hint="eastAsia" w:ascii="宋体" w:hAnsi="宋体" w:eastAsia="宋体" w:cs="宋体"/>
                <w:kern w:val="0"/>
                <w:szCs w:val="21"/>
                <w:highlight w:val="none"/>
                <w:lang w:val="en-US" w:eastAsia="zh-CN" w:bidi="zh-CN"/>
              </w:rPr>
              <w:t>12</w:t>
            </w:r>
          </w:p>
        </w:tc>
        <w:tc>
          <w:tcPr>
            <w:tcW w:w="1995" w:type="dxa"/>
            <w:vAlign w:val="center"/>
          </w:tcPr>
          <w:p w14:paraId="201F9E44">
            <w:pPr>
              <w:autoSpaceDE w:val="0"/>
              <w:autoSpaceDN w:val="0"/>
              <w:spacing w:before="19" w:line="360" w:lineRule="auto"/>
              <w:ind w:left="107"/>
              <w:jc w:val="left"/>
              <w:rPr>
                <w:rFonts w:ascii="宋体" w:hAnsi="宋体" w:eastAsia="宋体" w:cs="宋体"/>
                <w:kern w:val="0"/>
                <w:szCs w:val="21"/>
                <w:highlight w:val="none"/>
                <w:lang w:val="zh-CN" w:eastAsia="en-US" w:bidi="zh-CN"/>
              </w:rPr>
            </w:pPr>
            <w:r>
              <w:rPr>
                <w:rFonts w:ascii="宋体" w:hAnsi="宋体" w:eastAsia="宋体" w:cs="宋体"/>
                <w:kern w:val="0"/>
                <w:szCs w:val="21"/>
                <w:highlight w:val="none"/>
                <w:lang w:val="zh-CN" w:eastAsia="en-US" w:bidi="zh-CN"/>
              </w:rPr>
              <w:t>确定</w:t>
            </w:r>
            <w:r>
              <w:rPr>
                <w:rFonts w:hint="eastAsia" w:ascii="宋体" w:hAnsi="宋体" w:eastAsia="宋体" w:cs="宋体"/>
                <w:kern w:val="0"/>
                <w:szCs w:val="21"/>
                <w:highlight w:val="none"/>
                <w:lang w:val="zh-CN" w:eastAsia="en-US" w:bidi="zh-CN"/>
              </w:rPr>
              <w:t>中标供应商</w:t>
            </w:r>
          </w:p>
        </w:tc>
        <w:tc>
          <w:tcPr>
            <w:tcW w:w="5555" w:type="dxa"/>
            <w:vAlign w:val="center"/>
          </w:tcPr>
          <w:p w14:paraId="21B17273">
            <w:pPr>
              <w:tabs>
                <w:tab w:val="left" w:pos="3588"/>
              </w:tabs>
              <w:autoSpaceDE w:val="0"/>
              <w:autoSpaceDN w:val="0"/>
              <w:spacing w:before="19" w:line="360" w:lineRule="auto"/>
              <w:ind w:left="108"/>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□采购人委托</w:t>
            </w:r>
            <w:r>
              <w:rPr>
                <w:rFonts w:hint="eastAsia" w:ascii="宋体" w:hAnsi="宋体" w:eastAsia="宋体" w:cs="宋体"/>
                <w:kern w:val="0"/>
                <w:szCs w:val="21"/>
                <w:highlight w:val="none"/>
                <w:lang w:val="en-US" w:bidi="zh-CN"/>
              </w:rPr>
              <w:t>谈判</w:t>
            </w:r>
            <w:r>
              <w:rPr>
                <w:rFonts w:ascii="宋体" w:hAnsi="宋体" w:eastAsia="宋体" w:cs="宋体"/>
                <w:kern w:val="0"/>
                <w:szCs w:val="21"/>
                <w:highlight w:val="none"/>
                <w:lang w:val="zh-CN" w:bidi="zh-CN"/>
              </w:rPr>
              <w:t>小组确定</w:t>
            </w:r>
            <w:r>
              <w:rPr>
                <w:rFonts w:hint="eastAsia" w:ascii="宋体" w:hAnsi="宋体" w:eastAsia="宋体" w:cs="宋体"/>
                <w:kern w:val="0"/>
                <w:szCs w:val="21"/>
                <w:highlight w:val="none"/>
                <w:lang w:val="en-US" w:bidi="zh-CN"/>
              </w:rPr>
              <w:t xml:space="preserve">   </w:t>
            </w:r>
            <w:r>
              <w:rPr>
                <w:rFonts w:ascii="Segoe UI Symbol" w:hAnsi="Segoe UI Symbol" w:cs="Segoe UI Symbol"/>
                <w:szCs w:val="21"/>
                <w:highlight w:val="none"/>
              </w:rPr>
              <w:t>☑</w:t>
            </w:r>
            <w:r>
              <w:rPr>
                <w:rFonts w:ascii="宋体" w:hAnsi="宋体" w:eastAsia="宋体" w:cs="宋体"/>
                <w:kern w:val="0"/>
                <w:szCs w:val="21"/>
                <w:highlight w:val="none"/>
                <w:lang w:val="zh-CN" w:bidi="zh-CN"/>
              </w:rPr>
              <w:t>采购人确定</w:t>
            </w:r>
            <w:r>
              <w:rPr>
                <w:rFonts w:hint="eastAsia" w:ascii="宋体" w:hAnsi="宋体" w:eastAsia="宋体" w:cs="宋体"/>
                <w:kern w:val="0"/>
                <w:szCs w:val="21"/>
                <w:highlight w:val="none"/>
                <w:lang w:val="zh-CN" w:bidi="zh-CN"/>
              </w:rPr>
              <w:t>（</w:t>
            </w:r>
            <w:r>
              <w:rPr>
                <w:rFonts w:hint="eastAsia" w:ascii="宋体" w:hAnsi="宋体" w:eastAsia="宋体" w:cs="宋体"/>
                <w:kern w:val="0"/>
                <w:szCs w:val="21"/>
                <w:highlight w:val="none"/>
                <w:lang w:val="en-US" w:bidi="zh-CN"/>
              </w:rPr>
              <w:t>最低价中标</w:t>
            </w:r>
            <w:r>
              <w:rPr>
                <w:rFonts w:hint="eastAsia" w:ascii="宋体" w:hAnsi="宋体" w:eastAsia="宋体" w:cs="宋体"/>
                <w:kern w:val="0"/>
                <w:szCs w:val="21"/>
                <w:highlight w:val="none"/>
                <w:lang w:val="zh-CN" w:bidi="zh-CN"/>
              </w:rPr>
              <w:t>）</w:t>
            </w:r>
          </w:p>
        </w:tc>
      </w:tr>
      <w:tr w14:paraId="38B5E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3" w:hRule="atLeast"/>
          <w:jc w:val="center"/>
        </w:trPr>
        <w:tc>
          <w:tcPr>
            <w:tcW w:w="947" w:type="dxa"/>
            <w:vAlign w:val="center"/>
          </w:tcPr>
          <w:p w14:paraId="73ADB944">
            <w:pPr>
              <w:autoSpaceDE w:val="0"/>
              <w:autoSpaceDN w:val="0"/>
              <w:spacing w:before="19" w:line="360" w:lineRule="auto"/>
              <w:ind w:left="107"/>
              <w:jc w:val="center"/>
              <w:rPr>
                <w:rFonts w:hint="default" w:ascii="宋体" w:hAnsi="宋体" w:eastAsia="宋体" w:cs="宋体"/>
                <w:kern w:val="0"/>
                <w:szCs w:val="21"/>
                <w:highlight w:val="none"/>
                <w:lang w:val="en-US" w:eastAsia="en-US" w:bidi="zh-CN"/>
              </w:rPr>
            </w:pPr>
            <w:r>
              <w:rPr>
                <w:rFonts w:hint="eastAsia" w:ascii="宋体" w:hAnsi="宋体" w:eastAsia="宋体" w:cs="宋体"/>
                <w:kern w:val="0"/>
                <w:szCs w:val="21"/>
                <w:highlight w:val="none"/>
                <w:lang w:val="en-US" w:eastAsia="zh-CN" w:bidi="zh-CN"/>
              </w:rPr>
              <w:t>13</w:t>
            </w:r>
          </w:p>
        </w:tc>
        <w:tc>
          <w:tcPr>
            <w:tcW w:w="1995" w:type="dxa"/>
            <w:vAlign w:val="center"/>
          </w:tcPr>
          <w:p w14:paraId="1F410313">
            <w:pPr>
              <w:autoSpaceDE w:val="0"/>
              <w:autoSpaceDN w:val="0"/>
              <w:spacing w:line="360" w:lineRule="auto"/>
              <w:ind w:right="74" w:rightChars="0"/>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告知中标结果</w:t>
            </w:r>
          </w:p>
        </w:tc>
        <w:tc>
          <w:tcPr>
            <w:tcW w:w="5555" w:type="dxa"/>
            <w:vAlign w:val="center"/>
          </w:tcPr>
          <w:p w14:paraId="11312AA6">
            <w:pPr>
              <w:tabs>
                <w:tab w:val="left" w:pos="710"/>
              </w:tabs>
              <w:autoSpaceDE w:val="0"/>
              <w:autoSpaceDN w:val="0"/>
              <w:spacing w:before="8" w:line="360" w:lineRule="auto"/>
              <w:ind w:left="108" w:right="98"/>
              <w:jc w:val="left"/>
              <w:rPr>
                <w:rFonts w:hint="eastAsia" w:ascii="宋体" w:hAnsi="宋体" w:eastAsia="宋体" w:cs="Times New Roman"/>
                <w:kern w:val="0"/>
                <w:szCs w:val="21"/>
                <w:highlight w:val="none"/>
                <w:lang w:val="en-US" w:eastAsia="zh-CN"/>
              </w:rPr>
            </w:pPr>
            <w:r>
              <w:rPr>
                <w:rFonts w:hint="eastAsia" w:ascii="宋体" w:hAnsi="宋体" w:eastAsia="宋体" w:cs="Times New Roman"/>
                <w:kern w:val="0"/>
                <w:szCs w:val="21"/>
                <w:highlight w:val="none"/>
              </w:rPr>
              <w:t>1、开标后3个工作日内，采购人书面通知中标人</w:t>
            </w:r>
            <w:r>
              <w:rPr>
                <w:rFonts w:hint="eastAsia" w:ascii="宋体" w:hAnsi="宋体" w:eastAsia="宋体" w:cs="Times New Roman"/>
                <w:kern w:val="0"/>
                <w:szCs w:val="21"/>
                <w:highlight w:val="none"/>
                <w:lang w:eastAsia="zh-CN"/>
              </w:rPr>
              <w:t>；未中标人不做通知。</w:t>
            </w:r>
          </w:p>
          <w:p w14:paraId="39430477">
            <w:pPr>
              <w:tabs>
                <w:tab w:val="left" w:pos="710"/>
              </w:tabs>
              <w:autoSpaceDE w:val="0"/>
              <w:autoSpaceDN w:val="0"/>
              <w:spacing w:before="8" w:line="360" w:lineRule="auto"/>
              <w:ind w:left="108" w:leftChars="0" w:right="98" w:rightChars="0"/>
              <w:jc w:val="left"/>
              <w:rPr>
                <w:rFonts w:ascii="宋体" w:hAnsi="宋体" w:eastAsia="宋体" w:cs="宋体"/>
                <w:kern w:val="0"/>
                <w:szCs w:val="21"/>
                <w:highlight w:val="none"/>
                <w:lang w:val="zh-CN" w:bidi="zh-CN"/>
              </w:rPr>
            </w:pPr>
            <w:r>
              <w:rPr>
                <w:rFonts w:hint="eastAsia" w:ascii="宋体" w:hAnsi="宋体" w:eastAsia="宋体" w:cs="Times New Roman"/>
                <w:kern w:val="0"/>
                <w:szCs w:val="21"/>
                <w:highlight w:val="none"/>
              </w:rPr>
              <w:t>2、采购人对未</w:t>
            </w:r>
            <w:r>
              <w:rPr>
                <w:rFonts w:hint="eastAsia" w:ascii="宋体" w:hAnsi="宋体" w:eastAsia="宋体" w:cs="Times New Roman"/>
                <w:kern w:val="0"/>
                <w:szCs w:val="21"/>
                <w:highlight w:val="none"/>
                <w:lang w:eastAsia="zh-CN"/>
              </w:rPr>
              <w:t>中标人</w:t>
            </w:r>
            <w:r>
              <w:rPr>
                <w:rFonts w:hint="eastAsia" w:ascii="宋体" w:hAnsi="宋体" w:eastAsia="宋体" w:cs="Times New Roman"/>
                <w:kern w:val="0"/>
                <w:szCs w:val="21"/>
                <w:highlight w:val="none"/>
              </w:rPr>
              <w:t>不做未中标原因的解释。</w:t>
            </w:r>
          </w:p>
        </w:tc>
      </w:tr>
      <w:tr w14:paraId="070AC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947" w:type="dxa"/>
            <w:vAlign w:val="center"/>
          </w:tcPr>
          <w:p w14:paraId="71F13260">
            <w:pPr>
              <w:autoSpaceDE w:val="0"/>
              <w:autoSpaceDN w:val="0"/>
              <w:spacing w:before="19" w:line="360" w:lineRule="auto"/>
              <w:ind w:left="107"/>
              <w:jc w:val="center"/>
              <w:rPr>
                <w:rFonts w:hint="default" w:ascii="宋体" w:hAnsi="宋体" w:eastAsia="宋体" w:cs="宋体"/>
                <w:kern w:val="0"/>
                <w:szCs w:val="21"/>
                <w:highlight w:val="none"/>
                <w:lang w:val="en-US" w:eastAsia="en-US" w:bidi="zh-CN"/>
              </w:rPr>
            </w:pPr>
            <w:r>
              <w:rPr>
                <w:rFonts w:hint="eastAsia" w:ascii="宋体" w:hAnsi="宋体" w:eastAsia="宋体" w:cs="宋体"/>
                <w:kern w:val="0"/>
                <w:szCs w:val="21"/>
                <w:highlight w:val="none"/>
                <w:lang w:val="en-US" w:eastAsia="zh-CN" w:bidi="zh-CN"/>
              </w:rPr>
              <w:t>14</w:t>
            </w:r>
          </w:p>
        </w:tc>
        <w:tc>
          <w:tcPr>
            <w:tcW w:w="1995" w:type="dxa"/>
            <w:vAlign w:val="center"/>
          </w:tcPr>
          <w:p w14:paraId="54C5BA95">
            <w:pPr>
              <w:autoSpaceDE w:val="0"/>
              <w:autoSpaceDN w:val="0"/>
              <w:spacing w:line="360" w:lineRule="auto"/>
              <w:ind w:left="107"/>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en-US" w:bidi="zh-CN"/>
              </w:rPr>
              <w:t>中标通知书获取</w:t>
            </w:r>
            <w:r>
              <w:rPr>
                <w:rFonts w:ascii="宋体" w:hAnsi="宋体" w:eastAsia="宋体" w:cs="宋体"/>
                <w:kern w:val="0"/>
                <w:szCs w:val="21"/>
                <w:highlight w:val="none"/>
                <w:lang w:val="zh-CN" w:bidi="zh-CN"/>
              </w:rPr>
              <w:t>的形式</w:t>
            </w:r>
          </w:p>
        </w:tc>
        <w:tc>
          <w:tcPr>
            <w:tcW w:w="5555" w:type="dxa"/>
            <w:vAlign w:val="center"/>
          </w:tcPr>
          <w:p w14:paraId="6E3B3711">
            <w:pPr>
              <w:tabs>
                <w:tab w:val="left" w:pos="1428"/>
              </w:tabs>
              <w:autoSpaceDE w:val="0"/>
              <w:autoSpaceDN w:val="0"/>
              <w:spacing w:line="360" w:lineRule="auto"/>
              <w:jc w:val="left"/>
              <w:rPr>
                <w:rFonts w:hint="default" w:ascii="宋体" w:hAnsi="宋体" w:eastAsia="宋体" w:cs="宋体"/>
                <w:kern w:val="0"/>
                <w:szCs w:val="21"/>
                <w:highlight w:val="none"/>
                <w:lang w:val="en-US" w:eastAsia="en-US" w:bidi="zh-CN"/>
              </w:rPr>
            </w:pPr>
            <w:r>
              <w:rPr>
                <w:rFonts w:hint="eastAsia" w:ascii="宋体" w:hAnsi="宋体" w:eastAsia="宋体" w:cs="宋体"/>
                <w:bCs/>
                <w:sz w:val="21"/>
                <w:szCs w:val="21"/>
                <w:highlight w:val="none"/>
              </w:rPr>
              <w:t>在</w:t>
            </w:r>
            <w:r>
              <w:rPr>
                <w:rFonts w:hint="eastAsia" w:ascii="宋体" w:hAnsi="宋体" w:eastAsia="宋体" w:cs="宋体"/>
                <w:bCs/>
                <w:sz w:val="21"/>
                <w:szCs w:val="21"/>
                <w:highlight w:val="none"/>
                <w:lang w:val="en-US" w:eastAsia="zh-CN"/>
              </w:rPr>
              <w:t>阜阳投资发展集团有限公司(</w:t>
            </w:r>
            <w:r>
              <w:rPr>
                <w:rFonts w:hint="eastAsia" w:ascii="宋体" w:hAnsi="宋体" w:eastAsia="宋体" w:cs="宋体"/>
                <w:bCs/>
                <w:sz w:val="21"/>
                <w:szCs w:val="21"/>
                <w:highlight w:val="none"/>
                <w:lang w:val="en-US" w:eastAsia="zh-CN"/>
              </w:rPr>
              <w:fldChar w:fldCharType="begin"/>
            </w:r>
            <w:r>
              <w:rPr>
                <w:rFonts w:hint="eastAsia" w:ascii="宋体" w:hAnsi="宋体" w:eastAsia="宋体" w:cs="宋体"/>
                <w:bCs/>
                <w:sz w:val="21"/>
                <w:szCs w:val="21"/>
                <w:highlight w:val="none"/>
                <w:lang w:val="en-US" w:eastAsia="zh-CN"/>
              </w:rPr>
              <w:instrText xml:space="preserve"> HYPERLINK "http://jyzx.fy.gov.cn" </w:instrText>
            </w:r>
            <w:r>
              <w:rPr>
                <w:rFonts w:hint="eastAsia" w:ascii="宋体" w:hAnsi="宋体" w:eastAsia="宋体" w:cs="宋体"/>
                <w:bCs/>
                <w:sz w:val="21"/>
                <w:szCs w:val="21"/>
                <w:highlight w:val="none"/>
                <w:lang w:val="en-US" w:eastAsia="zh-CN"/>
              </w:rPr>
              <w:fldChar w:fldCharType="separate"/>
            </w:r>
            <w:r>
              <w:rPr>
                <w:rFonts w:hint="eastAsia" w:ascii="宋体" w:hAnsi="宋体" w:eastAsia="宋体" w:cs="宋体"/>
                <w:bCs/>
                <w:sz w:val="21"/>
                <w:szCs w:val="21"/>
                <w:highlight w:val="none"/>
                <w:lang w:val="en-US" w:eastAsia="zh-CN"/>
              </w:rPr>
              <w:t>http</w:t>
            </w:r>
            <w:r>
              <w:rPr>
                <w:rFonts w:hint="eastAsia" w:ascii="宋体" w:hAnsi="宋体" w:cs="宋体"/>
                <w:bCs/>
                <w:sz w:val="21"/>
                <w:szCs w:val="21"/>
                <w:highlight w:val="none"/>
                <w:lang w:val="en-US" w:eastAsia="zh-CN"/>
              </w:rPr>
              <w:t>：</w:t>
            </w:r>
            <w:r>
              <w:rPr>
                <w:rFonts w:hint="eastAsia" w:ascii="宋体" w:hAnsi="宋体" w:eastAsia="宋体" w:cs="宋体"/>
                <w:bCs/>
                <w:sz w:val="21"/>
                <w:szCs w:val="21"/>
                <w:highlight w:val="none"/>
                <w:lang w:val="en-US" w:eastAsia="zh-CN"/>
              </w:rPr>
              <w:t>//www.fytfjt.com/</w:t>
            </w:r>
            <w:r>
              <w:rPr>
                <w:rFonts w:hint="eastAsia" w:ascii="宋体" w:hAnsi="宋体" w:eastAsia="宋体" w:cs="宋体"/>
                <w:bCs/>
                <w:sz w:val="21"/>
                <w:szCs w:val="21"/>
                <w:highlight w:val="none"/>
                <w:lang w:val="en-US" w:eastAsia="zh-CN"/>
              </w:rPr>
              <w:fldChar w:fldCharType="end"/>
            </w:r>
            <w:r>
              <w:rPr>
                <w:rFonts w:hint="eastAsia" w:ascii="宋体" w:hAnsi="宋体" w:eastAsia="宋体" w:cs="宋体"/>
                <w:bCs/>
                <w:sz w:val="21"/>
                <w:szCs w:val="21"/>
                <w:highlight w:val="none"/>
                <w:lang w:val="en-US" w:eastAsia="zh-CN"/>
              </w:rPr>
              <w:t>)网站自行下载</w:t>
            </w:r>
          </w:p>
        </w:tc>
      </w:tr>
      <w:tr w14:paraId="101A4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jc w:val="center"/>
        </w:trPr>
        <w:tc>
          <w:tcPr>
            <w:tcW w:w="947" w:type="dxa"/>
            <w:vAlign w:val="center"/>
          </w:tcPr>
          <w:p w14:paraId="40FAC672">
            <w:pPr>
              <w:autoSpaceDE w:val="0"/>
              <w:autoSpaceDN w:val="0"/>
              <w:spacing w:before="19" w:line="360" w:lineRule="auto"/>
              <w:ind w:left="107"/>
              <w:jc w:val="center"/>
              <w:rPr>
                <w:rFonts w:hint="default" w:ascii="宋体" w:hAnsi="宋体" w:eastAsia="宋体" w:cs="宋体"/>
                <w:kern w:val="0"/>
                <w:szCs w:val="21"/>
                <w:highlight w:val="none"/>
                <w:lang w:val="en-US" w:eastAsia="en-US" w:bidi="zh-CN"/>
              </w:rPr>
            </w:pPr>
            <w:r>
              <w:rPr>
                <w:rFonts w:hint="eastAsia" w:ascii="宋体" w:hAnsi="宋体" w:eastAsia="宋体" w:cs="宋体"/>
                <w:kern w:val="0"/>
                <w:szCs w:val="21"/>
                <w:highlight w:val="none"/>
                <w:lang w:val="en-US" w:eastAsia="zh-CN" w:bidi="zh-CN"/>
              </w:rPr>
              <w:t>15</w:t>
            </w:r>
          </w:p>
        </w:tc>
        <w:tc>
          <w:tcPr>
            <w:tcW w:w="1995" w:type="dxa"/>
            <w:vAlign w:val="center"/>
          </w:tcPr>
          <w:p w14:paraId="6B5A05A1">
            <w:pPr>
              <w:autoSpaceDE w:val="0"/>
              <w:autoSpaceDN w:val="0"/>
              <w:spacing w:before="19" w:line="360" w:lineRule="auto"/>
              <w:ind w:left="107"/>
              <w:jc w:val="left"/>
              <w:rPr>
                <w:rFonts w:ascii="宋体" w:hAnsi="宋体" w:eastAsia="宋体" w:cs="宋体"/>
                <w:kern w:val="0"/>
                <w:szCs w:val="21"/>
                <w:highlight w:val="none"/>
                <w:lang w:val="zh-CN" w:eastAsia="en-US" w:bidi="zh-CN"/>
              </w:rPr>
            </w:pPr>
            <w:r>
              <w:rPr>
                <w:rFonts w:ascii="宋体" w:hAnsi="宋体" w:eastAsia="宋体" w:cs="宋体"/>
                <w:kern w:val="0"/>
                <w:szCs w:val="21"/>
                <w:highlight w:val="none"/>
                <w:lang w:val="zh-CN" w:eastAsia="en-US" w:bidi="zh-CN"/>
              </w:rPr>
              <w:t>其他内容</w:t>
            </w:r>
          </w:p>
        </w:tc>
        <w:tc>
          <w:tcPr>
            <w:tcW w:w="5555" w:type="dxa"/>
            <w:vAlign w:val="center"/>
          </w:tcPr>
          <w:p w14:paraId="7A188EDD">
            <w:pPr>
              <w:autoSpaceDE w:val="0"/>
              <w:autoSpaceDN w:val="0"/>
              <w:spacing w:line="360" w:lineRule="auto"/>
              <w:jc w:val="left"/>
              <w:rPr>
                <w:rFonts w:hint="default" w:ascii="宋体" w:hAnsi="宋体" w:eastAsia="宋体" w:cs="宋体"/>
                <w:kern w:val="0"/>
                <w:szCs w:val="21"/>
                <w:highlight w:val="none"/>
                <w:lang w:val="en-US" w:bidi="zh-CN"/>
              </w:rPr>
            </w:pPr>
            <w:r>
              <w:rPr>
                <w:rFonts w:hint="eastAsia" w:ascii="宋体" w:hAnsi="宋体" w:eastAsia="宋体" w:cs="宋体"/>
                <w:kern w:val="0"/>
                <w:szCs w:val="21"/>
                <w:highlight w:val="none"/>
                <w:lang w:val="en-US" w:bidi="zh-CN"/>
              </w:rPr>
              <w:t>/</w:t>
            </w:r>
          </w:p>
        </w:tc>
      </w:tr>
      <w:tr w14:paraId="67070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8" w:hRule="atLeast"/>
          <w:jc w:val="center"/>
        </w:trPr>
        <w:tc>
          <w:tcPr>
            <w:tcW w:w="947" w:type="dxa"/>
            <w:vAlign w:val="center"/>
          </w:tcPr>
          <w:p w14:paraId="27B670AD">
            <w:pPr>
              <w:autoSpaceDE w:val="0"/>
              <w:autoSpaceDN w:val="0"/>
              <w:spacing w:before="19" w:line="360" w:lineRule="auto"/>
              <w:ind w:left="107"/>
              <w:jc w:val="center"/>
              <w:rPr>
                <w:rFonts w:hint="default" w:ascii="宋体" w:hAnsi="宋体" w:eastAsia="宋体" w:cs="宋体"/>
                <w:kern w:val="0"/>
                <w:szCs w:val="21"/>
                <w:highlight w:val="none"/>
                <w:lang w:val="en-US" w:eastAsia="en-US" w:bidi="zh-CN"/>
              </w:rPr>
            </w:pPr>
            <w:r>
              <w:rPr>
                <w:rFonts w:hint="eastAsia" w:ascii="宋体" w:hAnsi="宋体" w:eastAsia="宋体" w:cs="宋体"/>
                <w:kern w:val="0"/>
                <w:szCs w:val="21"/>
                <w:highlight w:val="none"/>
                <w:lang w:val="en-US" w:eastAsia="zh-CN" w:bidi="zh-CN"/>
              </w:rPr>
              <w:t>16</w:t>
            </w:r>
          </w:p>
        </w:tc>
        <w:tc>
          <w:tcPr>
            <w:tcW w:w="1995" w:type="dxa"/>
            <w:vAlign w:val="center"/>
          </w:tcPr>
          <w:p w14:paraId="4B21B529">
            <w:pPr>
              <w:autoSpaceDE w:val="0"/>
              <w:autoSpaceDN w:val="0"/>
              <w:spacing w:before="171" w:line="360" w:lineRule="auto"/>
              <w:ind w:left="107"/>
              <w:jc w:val="left"/>
              <w:rPr>
                <w:rFonts w:ascii="宋体" w:hAnsi="宋体" w:eastAsia="宋体" w:cs="宋体"/>
                <w:kern w:val="0"/>
                <w:szCs w:val="21"/>
                <w:highlight w:val="none"/>
                <w:lang w:val="zh-CN" w:eastAsia="en-US" w:bidi="zh-CN"/>
              </w:rPr>
            </w:pPr>
            <w:r>
              <w:rPr>
                <w:rFonts w:ascii="宋体" w:hAnsi="宋体" w:eastAsia="宋体" w:cs="宋体"/>
                <w:kern w:val="0"/>
                <w:szCs w:val="21"/>
                <w:highlight w:val="none"/>
                <w:lang w:val="zh-CN" w:eastAsia="en-US" w:bidi="zh-CN"/>
              </w:rPr>
              <w:t>解释权</w:t>
            </w:r>
          </w:p>
        </w:tc>
        <w:tc>
          <w:tcPr>
            <w:tcW w:w="5555" w:type="dxa"/>
            <w:vAlign w:val="center"/>
          </w:tcPr>
          <w:p w14:paraId="097FA3CB">
            <w:pPr>
              <w:keepNext w:val="0"/>
              <w:keepLines w:val="0"/>
              <w:pageBreakBefore w:val="0"/>
              <w:widowControl w:val="0"/>
              <w:numPr>
                <w:ilvl w:val="0"/>
                <w:numId w:val="0"/>
              </w:numPr>
              <w:tabs>
                <w:tab w:val="left" w:pos="723"/>
              </w:tabs>
              <w:kinsoku/>
              <w:wordWrap/>
              <w:overflowPunct/>
              <w:topLinePunct w:val="0"/>
              <w:autoSpaceDE w:val="0"/>
              <w:autoSpaceDN w:val="0"/>
              <w:bidi w:val="0"/>
              <w:adjustRightInd/>
              <w:snapToGrid/>
              <w:spacing w:line="360" w:lineRule="auto"/>
              <w:ind w:left="0" w:leftChars="0" w:right="0" w:rightChars="0" w:firstLine="0" w:firstLineChars="0"/>
              <w:jc w:val="left"/>
              <w:textAlignment w:val="auto"/>
              <w:rPr>
                <w:rFonts w:ascii="宋体" w:hAnsi="宋体" w:eastAsia="宋体" w:cs="宋体"/>
                <w:kern w:val="0"/>
                <w:szCs w:val="21"/>
                <w:highlight w:val="none"/>
                <w:lang w:val="zh-CN" w:bidi="zh-CN"/>
              </w:rPr>
            </w:pPr>
            <w:r>
              <w:rPr>
                <w:rFonts w:hint="eastAsia" w:ascii="宋体" w:hAnsi="宋体" w:eastAsia="宋体" w:cs="宋体"/>
                <w:spacing w:val="0"/>
                <w:w w:val="100"/>
                <w:kern w:val="0"/>
                <w:sz w:val="22"/>
                <w:szCs w:val="22"/>
                <w:highlight w:val="none"/>
                <w:lang w:val="en-US" w:eastAsia="zh-CN" w:bidi="zh-CN"/>
              </w:rPr>
              <w:t>1、</w:t>
            </w:r>
            <w:r>
              <w:rPr>
                <w:rFonts w:ascii="宋体" w:hAnsi="宋体" w:eastAsia="宋体" w:cs="宋体"/>
                <w:kern w:val="0"/>
                <w:szCs w:val="21"/>
                <w:highlight w:val="none"/>
                <w:lang w:val="zh-CN" w:bidi="zh-CN"/>
              </w:rPr>
              <w:t>构成本</w:t>
            </w:r>
            <w:r>
              <w:rPr>
                <w:rFonts w:hint="eastAsia" w:ascii="宋体" w:hAnsi="宋体" w:eastAsia="宋体" w:cs="宋体"/>
                <w:kern w:val="0"/>
                <w:szCs w:val="21"/>
                <w:highlight w:val="none"/>
                <w:lang w:val="en-US" w:bidi="zh-CN"/>
              </w:rPr>
              <w:t>谈判</w:t>
            </w:r>
            <w:r>
              <w:rPr>
                <w:rFonts w:ascii="宋体" w:hAnsi="宋体" w:eastAsia="宋体" w:cs="宋体"/>
                <w:kern w:val="0"/>
                <w:szCs w:val="21"/>
                <w:highlight w:val="none"/>
                <w:lang w:val="zh-CN" w:bidi="zh-CN"/>
              </w:rPr>
              <w:t>通知书的各个组成文件应互为解释，互为说明；</w:t>
            </w:r>
          </w:p>
          <w:p w14:paraId="45D68D94">
            <w:pPr>
              <w:numPr>
                <w:ilvl w:val="0"/>
                <w:numId w:val="0"/>
              </w:numPr>
              <w:tabs>
                <w:tab w:val="left" w:pos="723"/>
              </w:tabs>
              <w:autoSpaceDE w:val="0"/>
              <w:autoSpaceDN w:val="0"/>
              <w:spacing w:line="360" w:lineRule="auto"/>
              <w:ind w:left="108" w:leftChars="0" w:right="102" w:rightChars="0" w:hanging="615" w:firstLineChars="0"/>
              <w:jc w:val="left"/>
              <w:rPr>
                <w:rFonts w:ascii="宋体" w:hAnsi="宋体" w:eastAsia="宋体" w:cs="宋体"/>
                <w:kern w:val="0"/>
                <w:szCs w:val="21"/>
                <w:highlight w:val="none"/>
                <w:lang w:val="zh-CN" w:bidi="zh-CN"/>
              </w:rPr>
            </w:pPr>
            <w:r>
              <w:rPr>
                <w:rFonts w:hint="default" w:ascii="宋体" w:hAnsi="宋体" w:eastAsia="宋体" w:cs="宋体"/>
                <w:spacing w:val="0"/>
                <w:w w:val="100"/>
                <w:kern w:val="0"/>
                <w:sz w:val="22"/>
                <w:szCs w:val="22"/>
                <w:highlight w:val="none"/>
                <w:lang w:val="zh-CN" w:eastAsia="zh-CN" w:bidi="zh-CN"/>
              </w:rPr>
              <w:t>（2）</w:t>
            </w:r>
            <w:r>
              <w:rPr>
                <w:rFonts w:hint="eastAsia" w:ascii="宋体" w:hAnsi="宋体" w:eastAsia="宋体" w:cs="宋体"/>
                <w:spacing w:val="0"/>
                <w:w w:val="100"/>
                <w:kern w:val="0"/>
                <w:sz w:val="22"/>
                <w:szCs w:val="22"/>
                <w:highlight w:val="none"/>
                <w:lang w:val="en-US" w:eastAsia="zh-CN" w:bidi="zh-CN"/>
              </w:rPr>
              <w:t>2、</w:t>
            </w:r>
            <w:r>
              <w:rPr>
                <w:rFonts w:ascii="宋体" w:hAnsi="宋体" w:eastAsia="宋体" w:cs="宋体"/>
                <w:kern w:val="0"/>
                <w:szCs w:val="21"/>
                <w:highlight w:val="none"/>
                <w:lang w:val="zh-CN" w:bidi="zh-CN"/>
              </w:rPr>
              <w:t>同一组成文件中就同一事项的规定或约定不一致的，以编排顺序在后者为准；</w:t>
            </w:r>
          </w:p>
          <w:p w14:paraId="2495FC56">
            <w:pPr>
              <w:numPr>
                <w:ilvl w:val="0"/>
                <w:numId w:val="0"/>
              </w:numPr>
              <w:tabs>
                <w:tab w:val="left" w:pos="723"/>
              </w:tabs>
              <w:autoSpaceDE w:val="0"/>
              <w:autoSpaceDN w:val="0"/>
              <w:spacing w:before="4" w:line="360" w:lineRule="auto"/>
              <w:ind w:left="108" w:leftChars="0" w:right="96" w:rightChars="0" w:hanging="615" w:firstLineChars="0"/>
              <w:rPr>
                <w:rFonts w:ascii="宋体" w:hAnsi="宋体" w:eastAsia="宋体" w:cs="宋体"/>
                <w:kern w:val="0"/>
                <w:szCs w:val="21"/>
                <w:highlight w:val="none"/>
                <w:lang w:val="zh-CN" w:bidi="zh-CN"/>
              </w:rPr>
            </w:pPr>
            <w:r>
              <w:rPr>
                <w:rFonts w:hint="default" w:ascii="宋体" w:hAnsi="宋体" w:eastAsia="宋体" w:cs="宋体"/>
                <w:spacing w:val="0"/>
                <w:w w:val="100"/>
                <w:kern w:val="0"/>
                <w:sz w:val="22"/>
                <w:szCs w:val="22"/>
                <w:highlight w:val="none"/>
                <w:lang w:val="zh-CN" w:eastAsia="zh-CN" w:bidi="zh-CN"/>
              </w:rPr>
              <w:t>（3）</w:t>
            </w:r>
            <w:r>
              <w:rPr>
                <w:rFonts w:hint="eastAsia" w:ascii="宋体" w:hAnsi="宋体" w:eastAsia="宋体" w:cs="宋体"/>
                <w:spacing w:val="0"/>
                <w:w w:val="100"/>
                <w:kern w:val="0"/>
                <w:sz w:val="22"/>
                <w:szCs w:val="22"/>
                <w:highlight w:val="none"/>
                <w:lang w:val="en-US" w:eastAsia="zh-CN" w:bidi="zh-CN"/>
              </w:rPr>
              <w:t>3、</w:t>
            </w:r>
            <w:r>
              <w:rPr>
                <w:rFonts w:ascii="宋体" w:hAnsi="宋体" w:eastAsia="宋体" w:cs="宋体"/>
                <w:kern w:val="0"/>
                <w:szCs w:val="21"/>
                <w:highlight w:val="none"/>
                <w:lang w:val="zh-CN" w:bidi="zh-CN"/>
              </w:rPr>
              <w:t>如有不明确或不一致，构成合同文件组成内容的，以合同文件约定内容为准，且以专用合同条款约定的合同文件优先顺序解释；</w:t>
            </w:r>
          </w:p>
          <w:p w14:paraId="4878FA5A">
            <w:pPr>
              <w:autoSpaceDE w:val="0"/>
              <w:autoSpaceDN w:val="0"/>
              <w:spacing w:before="9" w:line="360" w:lineRule="auto"/>
              <w:ind w:left="108" w:right="42"/>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en-US" w:bidi="zh-CN"/>
              </w:rPr>
              <w:t>4、</w:t>
            </w:r>
            <w:r>
              <w:rPr>
                <w:rFonts w:ascii="宋体" w:hAnsi="宋体" w:eastAsia="宋体" w:cs="宋体"/>
                <w:kern w:val="0"/>
                <w:szCs w:val="21"/>
                <w:highlight w:val="none"/>
                <w:lang w:val="zh-CN" w:bidi="zh-CN"/>
              </w:rPr>
              <w:t>除</w:t>
            </w:r>
            <w:r>
              <w:rPr>
                <w:rFonts w:hint="eastAsia" w:ascii="宋体" w:hAnsi="宋体" w:eastAsia="宋体" w:cs="宋体"/>
                <w:kern w:val="0"/>
                <w:szCs w:val="21"/>
                <w:highlight w:val="none"/>
                <w:lang w:val="en-US" w:bidi="zh-CN"/>
              </w:rPr>
              <w:t>谈判</w:t>
            </w:r>
            <w:r>
              <w:rPr>
                <w:rFonts w:ascii="宋体" w:hAnsi="宋体" w:eastAsia="宋体" w:cs="宋体"/>
                <w:kern w:val="0"/>
                <w:szCs w:val="21"/>
                <w:highlight w:val="none"/>
                <w:lang w:val="zh-CN" w:bidi="zh-CN"/>
              </w:rPr>
              <w:t>通知书中有特别规定外，仅适用于</w:t>
            </w:r>
            <w:r>
              <w:rPr>
                <w:rFonts w:hint="eastAsia" w:ascii="宋体" w:hAnsi="宋体" w:eastAsia="宋体" w:cs="宋体"/>
                <w:kern w:val="0"/>
                <w:szCs w:val="21"/>
                <w:highlight w:val="none"/>
                <w:lang w:val="en-US" w:bidi="zh-CN"/>
              </w:rPr>
              <w:t>谈判</w:t>
            </w:r>
            <w:r>
              <w:rPr>
                <w:rFonts w:ascii="宋体" w:hAnsi="宋体" w:eastAsia="宋体" w:cs="宋体"/>
                <w:kern w:val="0"/>
                <w:szCs w:val="21"/>
                <w:highlight w:val="none"/>
                <w:lang w:val="zh-CN" w:bidi="zh-CN"/>
              </w:rPr>
              <w:t>及响应文件提交阶段的规定，按</w:t>
            </w:r>
            <w:r>
              <w:rPr>
                <w:rFonts w:hint="eastAsia" w:ascii="宋体" w:hAnsi="宋体" w:eastAsia="宋体" w:cs="宋体"/>
                <w:kern w:val="0"/>
                <w:szCs w:val="21"/>
                <w:highlight w:val="none"/>
                <w:lang w:val="en-US" w:bidi="zh-CN"/>
              </w:rPr>
              <w:t>谈判</w:t>
            </w:r>
            <w:r>
              <w:rPr>
                <w:rFonts w:ascii="宋体" w:hAnsi="宋体" w:eastAsia="宋体" w:cs="宋体"/>
                <w:kern w:val="0"/>
                <w:szCs w:val="21"/>
                <w:highlight w:val="none"/>
                <w:lang w:val="zh-CN" w:bidi="zh-CN"/>
              </w:rPr>
              <w:t>公告、供应商须知、评审方法和标准、响应文件格式的先后顺序解释；</w:t>
            </w:r>
          </w:p>
          <w:p w14:paraId="06E2D8CA">
            <w:pPr>
              <w:autoSpaceDE w:val="0"/>
              <w:autoSpaceDN w:val="0"/>
              <w:spacing w:before="8" w:line="360" w:lineRule="auto"/>
              <w:ind w:left="108" w:right="90"/>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en-US" w:bidi="zh-CN"/>
              </w:rPr>
              <w:t>5、</w:t>
            </w:r>
            <w:r>
              <w:rPr>
                <w:rFonts w:ascii="宋体" w:hAnsi="宋体" w:eastAsia="宋体" w:cs="宋体"/>
                <w:kern w:val="0"/>
                <w:szCs w:val="21"/>
                <w:highlight w:val="none"/>
                <w:lang w:val="zh-CN" w:bidi="zh-CN"/>
              </w:rPr>
              <w:t>按本款前述规定仍不能形成结论的，由采购人负责解释。</w:t>
            </w:r>
          </w:p>
        </w:tc>
      </w:tr>
    </w:tbl>
    <w:p w14:paraId="6C78B11E">
      <w:pPr>
        <w:spacing w:line="360" w:lineRule="auto"/>
        <w:rPr>
          <w:rFonts w:ascii="宋体" w:hAnsi="宋体" w:eastAsia="宋体" w:cs="Times New Roman"/>
          <w:szCs w:val="21"/>
          <w:highlight w:val="none"/>
        </w:rPr>
        <w:sectPr>
          <w:footerReference r:id="rId6" w:type="default"/>
          <w:pgSz w:w="11910" w:h="16850"/>
          <w:pgMar w:top="1400" w:right="1440" w:bottom="1320" w:left="1580" w:header="877" w:footer="1126" w:gutter="0"/>
          <w:pgNumType w:fmt="decimal" w:start="1"/>
          <w:cols w:space="720" w:num="1"/>
        </w:sectPr>
      </w:pPr>
    </w:p>
    <w:p w14:paraId="272216C3">
      <w:pPr>
        <w:widowControl/>
        <w:spacing w:line="360" w:lineRule="auto"/>
        <w:jc w:val="center"/>
        <w:rPr>
          <w:rFonts w:ascii="宋体" w:hAnsi="宋体" w:eastAsia="宋体" w:cs="Times New Roman"/>
          <w:b/>
          <w:bCs/>
          <w:sz w:val="32"/>
          <w:szCs w:val="32"/>
          <w:highlight w:val="none"/>
        </w:rPr>
      </w:pPr>
      <w:r>
        <w:rPr>
          <w:rFonts w:ascii="宋体" w:hAnsi="宋体" w:eastAsia="宋体" w:cs="Times New Roman"/>
          <w:b/>
          <w:bCs/>
          <w:sz w:val="32"/>
          <w:szCs w:val="32"/>
          <w:highlight w:val="none"/>
        </w:rPr>
        <w:t>二、供应商须知正文</w:t>
      </w:r>
    </w:p>
    <w:p w14:paraId="4BB7F48A">
      <w:pPr>
        <w:pageBreakBefore w:val="0"/>
        <w:widowControl w:val="0"/>
        <w:numPr>
          <w:ilvl w:val="0"/>
          <w:numId w:val="0"/>
        </w:numPr>
        <w:tabs>
          <w:tab w:val="left" w:pos="915"/>
        </w:tabs>
        <w:kinsoku/>
        <w:wordWrap/>
        <w:overflowPunct/>
        <w:topLinePunct w:val="0"/>
        <w:autoSpaceDE w:val="0"/>
        <w:autoSpaceDN w:val="0"/>
        <w:bidi w:val="0"/>
        <w:spacing w:line="360" w:lineRule="auto"/>
        <w:ind w:left="0" w:leftChars="0" w:right="0" w:rightChars="0" w:firstLine="436" w:firstLineChars="200"/>
        <w:textAlignment w:val="auto"/>
        <w:outlineLvl w:val="2"/>
        <w:rPr>
          <w:rFonts w:ascii="宋体" w:hAnsi="宋体" w:eastAsia="宋体" w:cs="Times New Roman"/>
          <w:b/>
          <w:bCs/>
          <w:szCs w:val="21"/>
          <w:highlight w:val="none"/>
        </w:rPr>
      </w:pPr>
      <w:r>
        <w:rPr>
          <w:rFonts w:hint="default" w:ascii="宋体" w:hAnsi="宋体" w:eastAsia="宋体" w:cs="宋体"/>
          <w:b/>
          <w:bCs/>
          <w:spacing w:val="0"/>
          <w:w w:val="99"/>
          <w:kern w:val="2"/>
          <w:sz w:val="22"/>
          <w:szCs w:val="22"/>
          <w:highlight w:val="none"/>
          <w:lang w:val="zh-CN" w:eastAsia="zh-CN" w:bidi="zh-CN"/>
        </w:rPr>
        <w:t>1.</w:t>
      </w:r>
      <w:r>
        <w:rPr>
          <w:rFonts w:ascii="宋体" w:hAnsi="宋体" w:eastAsia="宋体" w:cs="Times New Roman"/>
          <w:b/>
          <w:bCs/>
          <w:szCs w:val="21"/>
          <w:highlight w:val="none"/>
        </w:rPr>
        <w:t>适用范围</w:t>
      </w:r>
    </w:p>
    <w:p w14:paraId="76C965DC">
      <w:pPr>
        <w:pageBreakBefore w:val="0"/>
        <w:widowControl w:val="0"/>
        <w:numPr>
          <w:ilvl w:val="1"/>
          <w:numId w:val="0"/>
        </w:numPr>
        <w:tabs>
          <w:tab w:val="left" w:pos="1090"/>
        </w:tabs>
        <w:kinsoku/>
        <w:wordWrap/>
        <w:overflowPunct/>
        <w:topLinePunct w:val="0"/>
        <w:autoSpaceDE w:val="0"/>
        <w:autoSpaceDN w:val="0"/>
        <w:bidi w:val="0"/>
        <w:spacing w:line="360" w:lineRule="auto"/>
        <w:ind w:left="0" w:leftChars="0" w:right="0" w:rightChars="0" w:firstLine="420" w:firstLineChars="200"/>
        <w:jc w:val="left"/>
        <w:textAlignment w:val="auto"/>
        <w:rPr>
          <w:rFonts w:ascii="宋体" w:hAnsi="宋体" w:eastAsia="宋体" w:cs="宋体"/>
          <w:b/>
          <w:kern w:val="0"/>
          <w:szCs w:val="21"/>
          <w:highlight w:val="none"/>
          <w:lang w:val="zh-CN" w:bidi="zh-CN"/>
        </w:rPr>
      </w:pPr>
      <w:r>
        <w:rPr>
          <w:rFonts w:hint="default" w:ascii="宋体" w:hAnsi="宋体" w:eastAsia="宋体" w:cs="宋体"/>
          <w:kern w:val="0"/>
          <w:szCs w:val="21"/>
          <w:highlight w:val="none"/>
          <w:lang w:val="zh-CN" w:eastAsia="zh-CN" w:bidi="zh-CN"/>
        </w:rPr>
        <w:t>1.1</w:t>
      </w:r>
      <w:r>
        <w:rPr>
          <w:rFonts w:ascii="宋体" w:hAnsi="宋体" w:eastAsia="宋体" w:cs="宋体"/>
          <w:kern w:val="0"/>
          <w:szCs w:val="21"/>
          <w:highlight w:val="none"/>
          <w:lang w:val="zh-CN" w:bidi="zh-CN"/>
        </w:rPr>
        <w:t>本</w:t>
      </w:r>
      <w:r>
        <w:rPr>
          <w:rFonts w:hint="eastAsia" w:ascii="宋体" w:hAnsi="宋体" w:eastAsia="宋体" w:cs="宋体"/>
          <w:kern w:val="0"/>
          <w:szCs w:val="21"/>
          <w:highlight w:val="none"/>
          <w:lang w:val="en-US" w:bidi="zh-CN"/>
        </w:rPr>
        <w:t>谈判</w:t>
      </w:r>
      <w:r>
        <w:rPr>
          <w:rFonts w:ascii="宋体" w:hAnsi="宋体" w:eastAsia="宋体" w:cs="宋体"/>
          <w:kern w:val="0"/>
          <w:szCs w:val="21"/>
          <w:highlight w:val="none"/>
          <w:lang w:val="zh-CN" w:bidi="zh-CN"/>
        </w:rPr>
        <w:t>通知书仅适用于本次</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所述的货物项目采购。</w:t>
      </w:r>
    </w:p>
    <w:p w14:paraId="2574816B">
      <w:pPr>
        <w:pageBreakBefore w:val="0"/>
        <w:widowControl w:val="0"/>
        <w:tabs>
          <w:tab w:val="left" w:pos="1090"/>
        </w:tabs>
        <w:kinsoku/>
        <w:wordWrap/>
        <w:overflowPunct/>
        <w:topLinePunct w:val="0"/>
        <w:autoSpaceDE w:val="0"/>
        <w:autoSpaceDN w:val="0"/>
        <w:bidi w:val="0"/>
        <w:spacing w:line="360" w:lineRule="auto"/>
        <w:ind w:left="0" w:right="0" w:rightChars="0" w:firstLine="422" w:firstLineChars="200"/>
        <w:jc w:val="left"/>
        <w:textAlignment w:val="auto"/>
        <w:rPr>
          <w:rFonts w:ascii="宋体" w:hAnsi="宋体" w:eastAsia="宋体" w:cs="宋体"/>
          <w:b/>
          <w:kern w:val="0"/>
          <w:szCs w:val="21"/>
          <w:highlight w:val="none"/>
          <w:lang w:val="zh-CN" w:bidi="zh-CN"/>
        </w:rPr>
      </w:pPr>
      <w:r>
        <w:rPr>
          <w:rFonts w:ascii="宋体" w:hAnsi="宋体" w:eastAsia="宋体" w:cs="宋体"/>
          <w:b/>
          <w:kern w:val="0"/>
          <w:szCs w:val="21"/>
          <w:highlight w:val="none"/>
          <w:lang w:val="zh-CN" w:bidi="zh-CN"/>
        </w:rPr>
        <w:t>2.定义</w:t>
      </w:r>
    </w:p>
    <w:p w14:paraId="09FC8A16">
      <w:pPr>
        <w:pageBreakBefore w:val="0"/>
        <w:widowControl w:val="0"/>
        <w:numPr>
          <w:ilvl w:val="1"/>
          <w:numId w:val="0"/>
        </w:numPr>
        <w:tabs>
          <w:tab w:val="left" w:pos="1090"/>
        </w:tabs>
        <w:kinsoku/>
        <w:wordWrap/>
        <w:overflowPunct/>
        <w:topLinePunct w:val="0"/>
        <w:autoSpaceDE w:val="0"/>
        <w:autoSpaceDN w:val="0"/>
        <w:bidi w:val="0"/>
        <w:spacing w:line="360" w:lineRule="auto"/>
        <w:ind w:left="0" w:leftChars="0" w:right="0" w:rightChars="0" w:firstLine="420" w:firstLineChars="200"/>
        <w:jc w:val="left"/>
        <w:textAlignment w:val="auto"/>
        <w:rPr>
          <w:rFonts w:ascii="宋体" w:hAnsi="宋体" w:eastAsia="宋体" w:cs="宋体"/>
          <w:kern w:val="0"/>
          <w:szCs w:val="21"/>
          <w:highlight w:val="none"/>
          <w:lang w:val="zh-CN" w:bidi="zh-CN"/>
        </w:rPr>
      </w:pPr>
      <w:r>
        <w:rPr>
          <w:rFonts w:hint="default" w:ascii="宋体" w:hAnsi="宋体" w:eastAsia="宋体" w:cs="宋体"/>
          <w:kern w:val="0"/>
          <w:szCs w:val="21"/>
          <w:highlight w:val="none"/>
          <w:lang w:val="zh-CN" w:eastAsia="zh-CN" w:bidi="zh-CN"/>
        </w:rPr>
        <w:t>2.1</w:t>
      </w:r>
      <w:r>
        <w:rPr>
          <w:rFonts w:ascii="宋体" w:hAnsi="宋体" w:eastAsia="宋体" w:cs="宋体"/>
          <w:kern w:val="0"/>
          <w:szCs w:val="21"/>
          <w:highlight w:val="none"/>
          <w:lang w:val="zh-CN" w:bidi="zh-CN"/>
        </w:rPr>
        <w:t>货物：是指各种形态和种类的物品，包括原材料、燃料、设备、产品等。</w:t>
      </w:r>
    </w:p>
    <w:p w14:paraId="369180F9">
      <w:pPr>
        <w:pageBreakBefore w:val="0"/>
        <w:widowControl w:val="0"/>
        <w:numPr>
          <w:ilvl w:val="1"/>
          <w:numId w:val="0"/>
        </w:numPr>
        <w:tabs>
          <w:tab w:val="left" w:pos="1111"/>
        </w:tabs>
        <w:kinsoku/>
        <w:wordWrap/>
        <w:overflowPunct/>
        <w:topLinePunct w:val="0"/>
        <w:autoSpaceDE w:val="0"/>
        <w:autoSpaceDN w:val="0"/>
        <w:bidi w:val="0"/>
        <w:spacing w:line="360" w:lineRule="auto"/>
        <w:ind w:left="0" w:leftChars="0" w:right="0" w:rightChars="0" w:firstLine="420" w:firstLineChars="200"/>
        <w:textAlignment w:val="auto"/>
        <w:rPr>
          <w:rFonts w:ascii="宋体" w:hAnsi="宋体" w:eastAsia="宋体" w:cs="宋体"/>
          <w:kern w:val="0"/>
          <w:szCs w:val="21"/>
          <w:highlight w:val="none"/>
          <w:lang w:val="zh-CN" w:bidi="zh-CN"/>
        </w:rPr>
      </w:pPr>
      <w:r>
        <w:rPr>
          <w:rFonts w:hint="default" w:ascii="宋体" w:hAnsi="宋体" w:eastAsia="宋体" w:cs="宋体"/>
          <w:kern w:val="0"/>
          <w:szCs w:val="21"/>
          <w:highlight w:val="none"/>
          <w:lang w:val="zh-CN" w:eastAsia="zh-CN" w:bidi="zh-CN"/>
        </w:rPr>
        <w:t>2.2</w:t>
      </w:r>
      <w:r>
        <w:rPr>
          <w:rFonts w:ascii="宋体" w:hAnsi="宋体" w:eastAsia="宋体" w:cs="宋体"/>
          <w:kern w:val="0"/>
          <w:szCs w:val="21"/>
          <w:highlight w:val="none"/>
          <w:lang w:val="zh-CN" w:bidi="zh-CN"/>
        </w:rPr>
        <w:t>时限（年份、月份等）计算：系指从响应文件提交截止之日向前追溯 X 年/月（“X”为“一”及以后整数）起算。</w:t>
      </w:r>
    </w:p>
    <w:p w14:paraId="7472ADB5">
      <w:pPr>
        <w:pageBreakBefore w:val="0"/>
        <w:widowControl w:val="0"/>
        <w:numPr>
          <w:ilvl w:val="1"/>
          <w:numId w:val="0"/>
        </w:numPr>
        <w:tabs>
          <w:tab w:val="left" w:pos="1090"/>
        </w:tabs>
        <w:kinsoku/>
        <w:wordWrap/>
        <w:overflowPunct/>
        <w:topLinePunct w:val="0"/>
        <w:autoSpaceDE w:val="0"/>
        <w:autoSpaceDN w:val="0"/>
        <w:bidi w:val="0"/>
        <w:spacing w:line="360" w:lineRule="auto"/>
        <w:ind w:left="0" w:leftChars="0" w:right="0" w:rightChars="0" w:firstLine="420" w:firstLineChars="200"/>
        <w:textAlignment w:val="auto"/>
        <w:rPr>
          <w:rFonts w:ascii="宋体" w:hAnsi="宋体" w:eastAsia="宋体" w:cs="宋体"/>
          <w:kern w:val="0"/>
          <w:szCs w:val="21"/>
          <w:highlight w:val="none"/>
          <w:lang w:val="zh-CN" w:bidi="zh-CN"/>
        </w:rPr>
      </w:pPr>
      <w:r>
        <w:rPr>
          <w:rFonts w:hint="default" w:ascii="宋体" w:hAnsi="宋体" w:eastAsia="宋体" w:cs="宋体"/>
          <w:kern w:val="0"/>
          <w:szCs w:val="21"/>
          <w:highlight w:val="none"/>
          <w:lang w:val="zh-CN" w:eastAsia="zh-CN" w:bidi="zh-CN"/>
        </w:rPr>
        <w:t>2.3</w:t>
      </w:r>
      <w:r>
        <w:rPr>
          <w:rFonts w:ascii="宋体" w:hAnsi="宋体" w:eastAsia="宋体" w:cs="宋体"/>
          <w:kern w:val="0"/>
          <w:szCs w:val="21"/>
          <w:highlight w:val="none"/>
          <w:lang w:val="zh-CN" w:bidi="zh-CN"/>
        </w:rPr>
        <w:t>业绩：除非本</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通知书中另有规定，业绩系指符合本</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通知书规定的与最终用户签订的合同。供应商与其关联公司（如母公司、控股公司、分公司、子公司、同一法定代表人的公司等）之间签订的合同，均不予认可。</w:t>
      </w:r>
    </w:p>
    <w:p w14:paraId="44EA4D7E">
      <w:pPr>
        <w:pageBreakBefore w:val="0"/>
        <w:widowControl w:val="0"/>
        <w:kinsoku/>
        <w:wordWrap/>
        <w:overflowPunct/>
        <w:topLinePunct w:val="0"/>
        <w:autoSpaceDE w:val="0"/>
        <w:autoSpaceDN w:val="0"/>
        <w:bidi w:val="0"/>
        <w:spacing w:line="360" w:lineRule="auto"/>
        <w:ind w:left="0" w:right="0" w:rightChars="0" w:firstLine="420" w:firstLineChars="200"/>
        <w:jc w:val="left"/>
        <w:textAlignment w:val="auto"/>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除非本</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通知书中另有规定，否则业绩均为已供货（安装）完毕的业绩， 业绩时间均以合同签订之日为追溯节点。</w:t>
      </w:r>
    </w:p>
    <w:p w14:paraId="7CBBF11B">
      <w:pPr>
        <w:pageBreakBefore w:val="0"/>
        <w:widowControl w:val="0"/>
        <w:numPr>
          <w:ilvl w:val="0"/>
          <w:numId w:val="0"/>
        </w:numPr>
        <w:tabs>
          <w:tab w:val="left" w:pos="915"/>
        </w:tabs>
        <w:kinsoku/>
        <w:wordWrap/>
        <w:overflowPunct/>
        <w:topLinePunct w:val="0"/>
        <w:autoSpaceDE w:val="0"/>
        <w:autoSpaceDN w:val="0"/>
        <w:bidi w:val="0"/>
        <w:spacing w:line="360" w:lineRule="auto"/>
        <w:ind w:left="0" w:leftChars="0" w:right="0" w:rightChars="0" w:firstLine="422" w:firstLineChars="200"/>
        <w:textAlignment w:val="auto"/>
        <w:outlineLvl w:val="2"/>
        <w:rPr>
          <w:rFonts w:ascii="宋体" w:hAnsi="宋体" w:eastAsia="宋体" w:cs="Times New Roman"/>
          <w:b/>
          <w:bCs/>
          <w:szCs w:val="21"/>
          <w:highlight w:val="none"/>
        </w:rPr>
      </w:pPr>
      <w:r>
        <w:rPr>
          <w:rFonts w:hint="eastAsia" w:ascii="宋体" w:hAnsi="宋体" w:eastAsia="宋体" w:cs="Times New Roman"/>
          <w:b/>
          <w:bCs/>
          <w:szCs w:val="21"/>
          <w:highlight w:val="none"/>
          <w:lang w:val="en-US" w:eastAsia="zh-CN"/>
        </w:rPr>
        <w:t>3.</w:t>
      </w:r>
      <w:r>
        <w:rPr>
          <w:rFonts w:ascii="宋体" w:hAnsi="宋体" w:eastAsia="宋体" w:cs="Times New Roman"/>
          <w:b/>
          <w:bCs/>
          <w:szCs w:val="21"/>
          <w:highlight w:val="none"/>
        </w:rPr>
        <w:t>采购人及供应商</w:t>
      </w:r>
    </w:p>
    <w:p w14:paraId="1AA31122">
      <w:pPr>
        <w:pageBreakBefore w:val="0"/>
        <w:widowControl w:val="0"/>
        <w:numPr>
          <w:ilvl w:val="1"/>
          <w:numId w:val="0"/>
        </w:numPr>
        <w:tabs>
          <w:tab w:val="left" w:pos="1090"/>
        </w:tabs>
        <w:kinsoku/>
        <w:wordWrap/>
        <w:overflowPunct/>
        <w:topLinePunct w:val="0"/>
        <w:autoSpaceDE w:val="0"/>
        <w:autoSpaceDN w:val="0"/>
        <w:bidi w:val="0"/>
        <w:spacing w:line="360" w:lineRule="auto"/>
        <w:ind w:left="0" w:leftChars="0" w:right="0" w:rightChars="0" w:firstLine="420" w:firstLineChars="200"/>
        <w:textAlignment w:val="auto"/>
        <w:rPr>
          <w:rFonts w:ascii="宋体" w:hAnsi="宋体" w:eastAsia="宋体" w:cs="宋体"/>
          <w:kern w:val="0"/>
          <w:szCs w:val="21"/>
          <w:highlight w:val="none"/>
          <w:lang w:val="zh-CN" w:bidi="zh-CN"/>
        </w:rPr>
      </w:pPr>
      <w:r>
        <w:rPr>
          <w:rFonts w:hint="default" w:ascii="宋体" w:hAnsi="宋体" w:eastAsia="宋体" w:cs="宋体"/>
          <w:kern w:val="0"/>
          <w:szCs w:val="21"/>
          <w:highlight w:val="none"/>
          <w:lang w:val="zh-CN" w:eastAsia="zh-CN" w:bidi="zh-CN"/>
        </w:rPr>
        <w:t>3.1</w:t>
      </w:r>
      <w:r>
        <w:rPr>
          <w:rFonts w:ascii="宋体" w:hAnsi="宋体" w:eastAsia="宋体" w:cs="宋体"/>
          <w:kern w:val="0"/>
          <w:szCs w:val="21"/>
          <w:highlight w:val="none"/>
          <w:lang w:val="zh-CN" w:bidi="zh-CN"/>
        </w:rPr>
        <w:t>采购人：是指依法开展政府采购活动的国家机关、事业单位、团体组织。本项目的采购人见</w:t>
      </w:r>
      <w:r>
        <w:rPr>
          <w:rFonts w:ascii="宋体" w:hAnsi="宋体" w:eastAsia="宋体" w:cs="宋体"/>
          <w:kern w:val="0"/>
          <w:szCs w:val="21"/>
          <w:highlight w:val="none"/>
          <w:u w:val="single"/>
          <w:lang w:val="zh-CN" w:bidi="zh-CN"/>
        </w:rPr>
        <w:t>供应商须知前附表</w:t>
      </w:r>
      <w:r>
        <w:rPr>
          <w:rFonts w:ascii="宋体" w:hAnsi="宋体" w:eastAsia="宋体" w:cs="宋体"/>
          <w:kern w:val="0"/>
          <w:szCs w:val="21"/>
          <w:highlight w:val="none"/>
          <w:lang w:val="zh-CN" w:bidi="zh-CN"/>
        </w:rPr>
        <w:t>。</w:t>
      </w:r>
    </w:p>
    <w:p w14:paraId="0E813381">
      <w:pPr>
        <w:pageBreakBefore w:val="0"/>
        <w:widowControl w:val="0"/>
        <w:numPr>
          <w:ilvl w:val="1"/>
          <w:numId w:val="0"/>
        </w:numPr>
        <w:tabs>
          <w:tab w:val="left" w:pos="1090"/>
        </w:tabs>
        <w:kinsoku/>
        <w:wordWrap/>
        <w:overflowPunct/>
        <w:topLinePunct w:val="0"/>
        <w:autoSpaceDE w:val="0"/>
        <w:autoSpaceDN w:val="0"/>
        <w:bidi w:val="0"/>
        <w:spacing w:line="360" w:lineRule="auto"/>
        <w:ind w:left="0" w:leftChars="0" w:right="0" w:rightChars="0" w:firstLine="420" w:firstLineChars="200"/>
        <w:textAlignment w:val="auto"/>
        <w:rPr>
          <w:rFonts w:ascii="宋体" w:hAnsi="宋体" w:eastAsia="宋体" w:cs="宋体"/>
          <w:kern w:val="0"/>
          <w:szCs w:val="21"/>
          <w:highlight w:val="none"/>
          <w:lang w:val="zh-CN" w:bidi="zh-CN"/>
        </w:rPr>
      </w:pPr>
      <w:r>
        <w:rPr>
          <w:rFonts w:hint="default" w:ascii="宋体" w:hAnsi="宋体" w:eastAsia="宋体" w:cs="宋体"/>
          <w:kern w:val="0"/>
          <w:szCs w:val="21"/>
          <w:highlight w:val="none"/>
          <w:lang w:val="zh-CN" w:eastAsia="zh-CN" w:bidi="zh-CN"/>
        </w:rPr>
        <w:t>3.2</w:t>
      </w:r>
      <w:r>
        <w:rPr>
          <w:rFonts w:ascii="宋体" w:hAnsi="宋体" w:eastAsia="宋体" w:cs="宋体"/>
          <w:kern w:val="0"/>
          <w:szCs w:val="21"/>
          <w:highlight w:val="none"/>
          <w:lang w:val="zh-CN" w:bidi="zh-CN"/>
        </w:rPr>
        <w:t>供应商：是指向采购人提供货物、工程或者服务的法人、非法人组织或者自然人。分支机构不得参加政府采购活动，但银行、保险、石油石化、电力、电信等特殊行业除外。本项目的供应商及其提供的货物须满足以下条件：</w:t>
      </w:r>
    </w:p>
    <w:p w14:paraId="10C480F6">
      <w:pPr>
        <w:pageBreakBefore w:val="0"/>
        <w:widowControl w:val="0"/>
        <w:numPr>
          <w:ilvl w:val="2"/>
          <w:numId w:val="0"/>
        </w:numPr>
        <w:tabs>
          <w:tab w:val="left" w:pos="1330"/>
        </w:tabs>
        <w:kinsoku/>
        <w:wordWrap/>
        <w:overflowPunct/>
        <w:topLinePunct w:val="0"/>
        <w:autoSpaceDE w:val="0"/>
        <w:autoSpaceDN w:val="0"/>
        <w:bidi w:val="0"/>
        <w:spacing w:line="360" w:lineRule="auto"/>
        <w:ind w:left="0" w:leftChars="0" w:right="0" w:rightChars="0" w:firstLine="420" w:firstLineChars="200"/>
        <w:textAlignment w:val="auto"/>
        <w:rPr>
          <w:rFonts w:ascii="宋体" w:hAnsi="宋体" w:eastAsia="宋体" w:cs="宋体"/>
          <w:kern w:val="0"/>
          <w:szCs w:val="21"/>
          <w:highlight w:val="none"/>
          <w:lang w:val="zh-CN" w:bidi="zh-CN"/>
        </w:rPr>
      </w:pPr>
      <w:r>
        <w:rPr>
          <w:rFonts w:hint="default" w:ascii="宋体" w:hAnsi="宋体" w:eastAsia="宋体" w:cs="宋体"/>
          <w:kern w:val="0"/>
          <w:szCs w:val="21"/>
          <w:highlight w:val="none"/>
          <w:lang w:val="zh-CN" w:eastAsia="zh-CN" w:bidi="zh-CN"/>
        </w:rPr>
        <w:t>3.2.1</w:t>
      </w:r>
      <w:r>
        <w:rPr>
          <w:rFonts w:ascii="宋体" w:hAnsi="宋体" w:eastAsia="宋体" w:cs="宋体"/>
          <w:kern w:val="0"/>
          <w:szCs w:val="21"/>
          <w:highlight w:val="none"/>
          <w:lang w:val="zh-CN" w:bidi="zh-CN"/>
        </w:rPr>
        <w:t>在中华人民共和国境内注册，能够独立承担民事责任，有生产或供应能力的本国供应商。</w:t>
      </w:r>
    </w:p>
    <w:p w14:paraId="4779E95D">
      <w:pPr>
        <w:pageBreakBefore w:val="0"/>
        <w:widowControl w:val="0"/>
        <w:numPr>
          <w:ilvl w:val="2"/>
          <w:numId w:val="0"/>
        </w:numPr>
        <w:tabs>
          <w:tab w:val="left" w:pos="1330"/>
        </w:tabs>
        <w:kinsoku/>
        <w:wordWrap/>
        <w:overflowPunct/>
        <w:topLinePunct w:val="0"/>
        <w:autoSpaceDE w:val="0"/>
        <w:autoSpaceDN w:val="0"/>
        <w:bidi w:val="0"/>
        <w:spacing w:line="360" w:lineRule="auto"/>
        <w:ind w:left="0" w:leftChars="0" w:right="0" w:rightChars="0" w:firstLine="420" w:firstLineChars="200"/>
        <w:textAlignment w:val="auto"/>
        <w:rPr>
          <w:rFonts w:ascii="宋体" w:hAnsi="宋体" w:eastAsia="宋体" w:cs="宋体"/>
          <w:kern w:val="0"/>
          <w:szCs w:val="21"/>
          <w:highlight w:val="none"/>
          <w:lang w:val="zh-CN" w:bidi="zh-CN"/>
        </w:rPr>
      </w:pPr>
      <w:r>
        <w:rPr>
          <w:rFonts w:hint="default" w:ascii="宋体" w:hAnsi="宋体" w:eastAsia="宋体" w:cs="宋体"/>
          <w:kern w:val="0"/>
          <w:szCs w:val="21"/>
          <w:highlight w:val="none"/>
          <w:lang w:val="zh-CN" w:eastAsia="zh-CN" w:bidi="zh-CN"/>
        </w:rPr>
        <w:t>3.2.2具</w:t>
      </w:r>
      <w:r>
        <w:rPr>
          <w:rFonts w:ascii="宋体" w:hAnsi="宋体" w:eastAsia="宋体" w:cs="宋体"/>
          <w:kern w:val="0"/>
          <w:szCs w:val="21"/>
          <w:highlight w:val="none"/>
          <w:lang w:val="zh-CN" w:bidi="zh-CN"/>
        </w:rPr>
        <w:t>备《中华人民共和国政府采购法》第二十二条关于供应商条件的规定，遵守本项目采购人本级和上级财政部门政府采购的有关规定。</w:t>
      </w:r>
    </w:p>
    <w:p w14:paraId="4025B72D">
      <w:pPr>
        <w:pageBreakBefore w:val="0"/>
        <w:widowControl w:val="0"/>
        <w:tabs>
          <w:tab w:val="left" w:pos="915"/>
        </w:tabs>
        <w:kinsoku/>
        <w:wordWrap/>
        <w:overflowPunct/>
        <w:topLinePunct w:val="0"/>
        <w:autoSpaceDE w:val="0"/>
        <w:autoSpaceDN w:val="0"/>
        <w:bidi w:val="0"/>
        <w:spacing w:line="360" w:lineRule="auto"/>
        <w:ind w:left="0" w:right="0" w:rightChars="0" w:firstLine="422" w:firstLineChars="200"/>
        <w:jc w:val="left"/>
        <w:textAlignment w:val="auto"/>
        <w:outlineLvl w:val="2"/>
        <w:rPr>
          <w:rFonts w:ascii="宋体" w:hAnsi="宋体" w:eastAsia="宋体" w:cs="Times New Roman"/>
          <w:b/>
          <w:bCs/>
          <w:szCs w:val="21"/>
          <w:highlight w:val="none"/>
        </w:rPr>
      </w:pPr>
      <w:r>
        <w:rPr>
          <w:rFonts w:hint="eastAsia" w:ascii="宋体" w:hAnsi="宋体" w:eastAsia="宋体" w:cs="Times New Roman"/>
          <w:b/>
          <w:bCs/>
          <w:szCs w:val="21"/>
          <w:highlight w:val="none"/>
        </w:rPr>
        <w:t>4.</w:t>
      </w:r>
      <w:r>
        <w:rPr>
          <w:rFonts w:ascii="宋体" w:hAnsi="宋体" w:eastAsia="宋体" w:cs="Times New Roman"/>
          <w:b/>
          <w:bCs/>
          <w:szCs w:val="21"/>
          <w:highlight w:val="none"/>
        </w:rPr>
        <w:t>资金来源</w:t>
      </w:r>
    </w:p>
    <w:p w14:paraId="68398C12">
      <w:pPr>
        <w:pageBreakBefore w:val="0"/>
        <w:widowControl w:val="0"/>
        <w:tabs>
          <w:tab w:val="left" w:pos="855"/>
        </w:tabs>
        <w:kinsoku/>
        <w:wordWrap/>
        <w:overflowPunct/>
        <w:topLinePunct w:val="0"/>
        <w:bidi w:val="0"/>
        <w:spacing w:line="360" w:lineRule="auto"/>
        <w:ind w:left="0" w:right="0" w:rightChars="0" w:firstLine="420" w:firstLineChars="200"/>
        <w:textAlignment w:val="auto"/>
        <w:rPr>
          <w:rFonts w:ascii="宋体" w:hAnsi="宋体" w:eastAsia="宋体" w:cs="Times New Roman"/>
          <w:szCs w:val="21"/>
          <w:highlight w:val="none"/>
        </w:rPr>
      </w:pPr>
      <w:r>
        <w:rPr>
          <w:rFonts w:hint="eastAsia" w:ascii="宋体" w:hAnsi="宋体" w:eastAsia="宋体" w:cs="Times New Roman"/>
          <w:szCs w:val="21"/>
          <w:highlight w:val="none"/>
        </w:rPr>
        <w:t>4.1</w:t>
      </w:r>
      <w:r>
        <w:rPr>
          <w:rFonts w:ascii="宋体" w:hAnsi="宋体" w:eastAsia="宋体" w:cs="Times New Roman"/>
          <w:szCs w:val="21"/>
          <w:highlight w:val="none"/>
        </w:rPr>
        <w:t>本项目的采购人已获得足以支付本次采购后所签订的合同项下的资金。</w:t>
      </w:r>
    </w:p>
    <w:p w14:paraId="2D552481">
      <w:pPr>
        <w:pageBreakBefore w:val="0"/>
        <w:widowControl w:val="0"/>
        <w:tabs>
          <w:tab w:val="left" w:pos="1090"/>
        </w:tabs>
        <w:kinsoku/>
        <w:wordWrap/>
        <w:overflowPunct/>
        <w:topLinePunct w:val="0"/>
        <w:autoSpaceDE w:val="0"/>
        <w:autoSpaceDN w:val="0"/>
        <w:bidi w:val="0"/>
        <w:spacing w:line="360" w:lineRule="auto"/>
        <w:ind w:left="0" w:right="0" w:rightChars="0" w:firstLine="420" w:firstLineChars="200"/>
        <w:jc w:val="left"/>
        <w:textAlignment w:val="auto"/>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4.2</w:t>
      </w:r>
      <w:r>
        <w:rPr>
          <w:rFonts w:ascii="宋体" w:hAnsi="宋体" w:eastAsia="宋体" w:cs="宋体"/>
          <w:kern w:val="0"/>
          <w:szCs w:val="21"/>
          <w:highlight w:val="none"/>
          <w:lang w:val="zh-CN" w:bidi="zh-CN"/>
        </w:rPr>
        <w:t>项目预算金额见</w:t>
      </w:r>
      <w:r>
        <w:rPr>
          <w:rFonts w:hint="eastAsia" w:ascii="宋体" w:hAnsi="宋体" w:eastAsia="宋体" w:cs="宋体"/>
          <w:kern w:val="0"/>
          <w:szCs w:val="21"/>
          <w:highlight w:val="none"/>
          <w:u w:val="single"/>
          <w:lang w:val="zh-CN" w:bidi="zh-CN"/>
        </w:rPr>
        <w:t>谈判</w:t>
      </w:r>
      <w:r>
        <w:rPr>
          <w:rFonts w:ascii="宋体" w:hAnsi="宋体" w:eastAsia="宋体" w:cs="宋体"/>
          <w:kern w:val="0"/>
          <w:szCs w:val="21"/>
          <w:highlight w:val="none"/>
          <w:u w:val="single"/>
          <w:lang w:val="zh-CN" w:bidi="zh-CN"/>
        </w:rPr>
        <w:t>公告</w:t>
      </w:r>
      <w:r>
        <w:rPr>
          <w:rFonts w:ascii="宋体" w:hAnsi="宋体" w:eastAsia="宋体" w:cs="宋体"/>
          <w:kern w:val="0"/>
          <w:szCs w:val="21"/>
          <w:highlight w:val="none"/>
          <w:lang w:val="zh-CN" w:bidi="zh-CN"/>
        </w:rPr>
        <w:t>。</w:t>
      </w:r>
    </w:p>
    <w:p w14:paraId="23899F1C">
      <w:pPr>
        <w:pageBreakBefore w:val="0"/>
        <w:widowControl w:val="0"/>
        <w:tabs>
          <w:tab w:val="left" w:pos="1090"/>
        </w:tabs>
        <w:kinsoku/>
        <w:wordWrap/>
        <w:overflowPunct/>
        <w:topLinePunct w:val="0"/>
        <w:autoSpaceDE w:val="0"/>
        <w:autoSpaceDN w:val="0"/>
        <w:bidi w:val="0"/>
        <w:spacing w:line="360" w:lineRule="auto"/>
        <w:ind w:left="0" w:right="0" w:rightChars="0" w:firstLine="422" w:firstLineChars="200"/>
        <w:jc w:val="left"/>
        <w:textAlignment w:val="auto"/>
        <w:rPr>
          <w:rFonts w:ascii="宋体" w:hAnsi="宋体" w:eastAsia="宋体" w:cs="宋体"/>
          <w:b/>
          <w:kern w:val="0"/>
          <w:szCs w:val="21"/>
          <w:highlight w:val="none"/>
          <w:lang w:val="zh-CN" w:bidi="zh-CN"/>
        </w:rPr>
      </w:pPr>
      <w:r>
        <w:rPr>
          <w:rFonts w:ascii="宋体" w:hAnsi="宋体" w:eastAsia="宋体" w:cs="宋体"/>
          <w:b/>
          <w:kern w:val="0"/>
          <w:szCs w:val="21"/>
          <w:highlight w:val="none"/>
          <w:lang w:val="zh-CN" w:bidi="zh-CN"/>
        </w:rPr>
        <w:t>5.费用</w:t>
      </w:r>
    </w:p>
    <w:p w14:paraId="2F837EBB">
      <w:pPr>
        <w:pageBreakBefore w:val="0"/>
        <w:widowControl w:val="0"/>
        <w:kinsoku/>
        <w:wordWrap/>
        <w:overflowPunct/>
        <w:topLinePunct w:val="0"/>
        <w:autoSpaceDE w:val="0"/>
        <w:autoSpaceDN w:val="0"/>
        <w:bidi w:val="0"/>
        <w:spacing w:line="360" w:lineRule="auto"/>
        <w:ind w:left="0" w:right="0" w:rightChars="0" w:firstLine="420" w:firstLineChars="200"/>
        <w:jc w:val="left"/>
        <w:textAlignment w:val="auto"/>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不论</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的结果如何，供应商应承担所有与准备和参加</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有关的费用。</w:t>
      </w:r>
    </w:p>
    <w:p w14:paraId="727A8B51">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ascii="宋体" w:hAnsi="宋体" w:eastAsia="宋体" w:cs="宋体"/>
          <w:b/>
          <w:kern w:val="0"/>
          <w:szCs w:val="21"/>
          <w:highlight w:val="none"/>
          <w:lang w:val="zh-CN" w:bidi="zh-CN"/>
        </w:rPr>
      </w:pPr>
      <w:r>
        <w:rPr>
          <w:rFonts w:ascii="宋体" w:hAnsi="宋体" w:eastAsia="宋体" w:cs="宋体"/>
          <w:b/>
          <w:kern w:val="0"/>
          <w:szCs w:val="21"/>
          <w:highlight w:val="none"/>
          <w:lang w:val="zh-CN" w:bidi="zh-CN"/>
        </w:rPr>
        <w:t>6.适用法律</w:t>
      </w:r>
    </w:p>
    <w:p w14:paraId="34BE0892">
      <w:pPr>
        <w:pageBreakBefore w:val="0"/>
        <w:widowControl w:val="0"/>
        <w:kinsoku/>
        <w:wordWrap/>
        <w:overflowPunct/>
        <w:topLinePunct w:val="0"/>
        <w:autoSpaceDE w:val="0"/>
        <w:autoSpaceDN w:val="0"/>
        <w:bidi w:val="0"/>
        <w:spacing w:line="360" w:lineRule="auto"/>
        <w:ind w:left="0" w:right="0" w:rightChars="0" w:firstLine="420" w:firstLineChars="200"/>
        <w:textAlignment w:val="auto"/>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本项目采购人、采购代理机构、供应商、</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小组的相关行为均受本项目本级和上级主管部门、采购监督管理部门的政府采购有关规定的约束，其权利受到上述法律法规的保护。</w:t>
      </w:r>
    </w:p>
    <w:p w14:paraId="4FDBCBD1">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bidi="zh-CN"/>
        </w:rPr>
        <w:t>7</w:t>
      </w:r>
      <w:r>
        <w:rPr>
          <w:rFonts w:ascii="宋体" w:hAnsi="宋体" w:eastAsia="宋体" w:cs="宋体"/>
          <w:b/>
          <w:kern w:val="0"/>
          <w:szCs w:val="21"/>
          <w:highlight w:val="none"/>
          <w:lang w:val="zh-CN" w:bidi="zh-CN"/>
        </w:rPr>
        <w:t>.</w:t>
      </w:r>
      <w:r>
        <w:rPr>
          <w:rFonts w:hint="eastAsia" w:ascii="宋体" w:hAnsi="宋体" w:eastAsia="宋体" w:cs="宋体"/>
          <w:b/>
          <w:kern w:val="0"/>
          <w:szCs w:val="21"/>
          <w:highlight w:val="none"/>
          <w:lang w:val="en-US" w:eastAsia="zh-CN" w:bidi="zh-CN"/>
        </w:rPr>
        <w:t>谈判文件构成</w:t>
      </w:r>
    </w:p>
    <w:p w14:paraId="375428FD">
      <w:pPr>
        <w:pStyle w:val="42"/>
        <w:pageBreakBefore w:val="0"/>
        <w:widowControl w:val="0"/>
        <w:numPr>
          <w:ilvl w:val="0"/>
          <w:numId w:val="0"/>
        </w:numPr>
        <w:tabs>
          <w:tab w:val="left" w:pos="1370"/>
        </w:tabs>
        <w:kinsoku/>
        <w:wordWrap/>
        <w:overflowPunct/>
        <w:topLinePunct w:val="0"/>
        <w:bidi w:val="0"/>
        <w:spacing w:line="360" w:lineRule="auto"/>
        <w:ind w:left="0" w:right="0" w:rightChars="0" w:firstLine="420" w:firstLineChars="200"/>
        <w:textAlignment w:val="auto"/>
        <w:rPr>
          <w:rFonts w:ascii="宋体" w:hAnsi="宋体" w:eastAsia="宋体" w:cs="宋体"/>
          <w:kern w:val="0"/>
          <w:sz w:val="21"/>
          <w:szCs w:val="21"/>
          <w:highlight w:val="none"/>
          <w:lang w:val="zh-CN" w:eastAsia="zh-CN" w:bidi="zh-CN"/>
        </w:rPr>
      </w:pPr>
      <w:r>
        <w:rPr>
          <w:rFonts w:hint="eastAsia" w:ascii="宋体" w:hAnsi="宋体" w:eastAsia="宋体" w:cs="宋体"/>
          <w:kern w:val="0"/>
          <w:sz w:val="21"/>
          <w:szCs w:val="21"/>
          <w:highlight w:val="none"/>
          <w:lang w:val="en-US" w:eastAsia="zh-CN" w:bidi="zh-CN"/>
        </w:rPr>
        <w:t>7.1</w:t>
      </w:r>
      <w:r>
        <w:rPr>
          <w:rFonts w:ascii="宋体" w:hAnsi="宋体" w:eastAsia="宋体" w:cs="宋体"/>
          <w:kern w:val="0"/>
          <w:sz w:val="21"/>
          <w:szCs w:val="21"/>
          <w:highlight w:val="none"/>
          <w:lang w:val="zh-CN" w:eastAsia="zh-CN" w:bidi="zh-CN"/>
        </w:rPr>
        <w:t>谈判文件包括下列内容：</w:t>
      </w:r>
    </w:p>
    <w:p w14:paraId="50E8FCCC">
      <w:pPr>
        <w:keepNext w:val="0"/>
        <w:keepLines w:val="0"/>
        <w:pageBreakBefore w:val="0"/>
        <w:widowControl w:val="0"/>
        <w:tabs>
          <w:tab w:val="left" w:pos="880"/>
        </w:tabs>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hint="eastAsia" w:ascii="宋体" w:hAnsi="宋体" w:eastAsia="宋体" w:cs="宋体"/>
          <w:kern w:val="0"/>
          <w:sz w:val="21"/>
          <w:szCs w:val="21"/>
          <w:highlight w:val="none"/>
          <w:lang w:val="en-US" w:eastAsia="zh-CN" w:bidi="zh-CN"/>
        </w:rPr>
      </w:pPr>
      <w:r>
        <w:rPr>
          <w:rFonts w:hint="eastAsia" w:ascii="宋体" w:hAnsi="宋体" w:eastAsia="宋体" w:cs="宋体"/>
          <w:kern w:val="0"/>
          <w:sz w:val="21"/>
          <w:szCs w:val="21"/>
          <w:highlight w:val="none"/>
          <w:lang w:val="en-US" w:eastAsia="zh-CN" w:bidi="zh-CN"/>
        </w:rPr>
        <w:t>第一章</w:t>
      </w:r>
      <w:r>
        <w:rPr>
          <w:rFonts w:hint="eastAsia" w:ascii="宋体" w:hAnsi="宋体" w:eastAsia="宋体" w:cs="宋体"/>
          <w:kern w:val="0"/>
          <w:sz w:val="21"/>
          <w:szCs w:val="21"/>
          <w:highlight w:val="none"/>
          <w:lang w:val="en-US" w:eastAsia="zh-CN" w:bidi="zh-CN"/>
        </w:rPr>
        <w:tab/>
      </w:r>
      <w:r>
        <w:rPr>
          <w:rFonts w:hint="eastAsia" w:ascii="宋体" w:hAnsi="宋体" w:eastAsia="宋体" w:cs="宋体"/>
          <w:kern w:val="0"/>
          <w:sz w:val="21"/>
          <w:szCs w:val="21"/>
          <w:highlight w:val="none"/>
          <w:lang w:val="en-US" w:eastAsia="zh-CN" w:bidi="zh-CN"/>
        </w:rPr>
        <w:t>竞争性谈判公告</w:t>
      </w:r>
    </w:p>
    <w:p w14:paraId="48337048">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hint="eastAsia" w:ascii="宋体" w:hAnsi="宋体" w:eastAsia="宋体" w:cs="宋体"/>
          <w:kern w:val="0"/>
          <w:sz w:val="21"/>
          <w:szCs w:val="21"/>
          <w:highlight w:val="none"/>
          <w:lang w:val="en-US" w:eastAsia="zh-CN" w:bidi="zh-CN"/>
        </w:rPr>
      </w:pPr>
      <w:r>
        <w:rPr>
          <w:rFonts w:hint="eastAsia" w:ascii="宋体" w:hAnsi="宋体" w:eastAsia="宋体" w:cs="宋体"/>
          <w:kern w:val="0"/>
          <w:sz w:val="21"/>
          <w:szCs w:val="21"/>
          <w:highlight w:val="none"/>
          <w:lang w:val="en-US" w:eastAsia="zh-CN" w:bidi="zh-CN"/>
        </w:rPr>
        <w:t>第二章</w:t>
      </w:r>
      <w:r>
        <w:rPr>
          <w:rFonts w:hint="eastAsia" w:ascii="宋体" w:hAnsi="宋体" w:eastAsia="宋体" w:cs="宋体"/>
          <w:kern w:val="0"/>
          <w:sz w:val="21"/>
          <w:szCs w:val="21"/>
          <w:highlight w:val="none"/>
          <w:lang w:val="en-US" w:eastAsia="zh-CN" w:bidi="zh-CN"/>
        </w:rPr>
        <w:tab/>
      </w:r>
      <w:r>
        <w:rPr>
          <w:rFonts w:hint="eastAsia" w:ascii="宋体" w:hAnsi="宋体" w:eastAsia="宋体" w:cs="宋体"/>
          <w:kern w:val="0"/>
          <w:sz w:val="21"/>
          <w:szCs w:val="21"/>
          <w:highlight w:val="none"/>
          <w:lang w:val="en-US" w:eastAsia="zh-CN" w:bidi="zh-CN"/>
        </w:rPr>
        <w:t>供应商须知</w:t>
      </w:r>
    </w:p>
    <w:p w14:paraId="63F94574">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hint="eastAsia" w:ascii="宋体" w:hAnsi="宋体" w:eastAsia="宋体" w:cs="宋体"/>
          <w:kern w:val="0"/>
          <w:sz w:val="21"/>
          <w:szCs w:val="21"/>
          <w:highlight w:val="none"/>
          <w:lang w:val="en-US" w:eastAsia="zh-CN" w:bidi="zh-CN"/>
        </w:rPr>
      </w:pPr>
      <w:r>
        <w:rPr>
          <w:rFonts w:hint="eastAsia" w:ascii="宋体" w:hAnsi="宋体" w:eastAsia="宋体" w:cs="宋体"/>
          <w:kern w:val="0"/>
          <w:sz w:val="21"/>
          <w:szCs w:val="21"/>
          <w:highlight w:val="none"/>
          <w:lang w:val="en-US" w:eastAsia="zh-CN" w:bidi="zh-CN"/>
        </w:rPr>
        <w:t>第三章</w:t>
      </w:r>
      <w:r>
        <w:rPr>
          <w:rFonts w:hint="eastAsia" w:ascii="宋体" w:hAnsi="宋体" w:eastAsia="宋体" w:cs="宋体"/>
          <w:kern w:val="0"/>
          <w:sz w:val="21"/>
          <w:szCs w:val="21"/>
          <w:highlight w:val="none"/>
          <w:lang w:val="en-US" w:eastAsia="zh-CN" w:bidi="zh-CN"/>
        </w:rPr>
        <w:tab/>
      </w:r>
      <w:r>
        <w:rPr>
          <w:rFonts w:hint="eastAsia" w:ascii="宋体" w:hAnsi="宋体" w:eastAsia="宋体" w:cs="宋体"/>
          <w:kern w:val="0"/>
          <w:sz w:val="21"/>
          <w:szCs w:val="21"/>
          <w:highlight w:val="none"/>
          <w:lang w:val="en-US" w:eastAsia="zh-CN" w:bidi="zh-CN"/>
        </w:rPr>
        <w:t>采购需求</w:t>
      </w:r>
    </w:p>
    <w:p w14:paraId="40E3CF09">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hint="eastAsia" w:ascii="宋体" w:hAnsi="宋体" w:eastAsia="宋体" w:cs="宋体"/>
          <w:kern w:val="0"/>
          <w:sz w:val="21"/>
          <w:szCs w:val="21"/>
          <w:highlight w:val="none"/>
          <w:lang w:val="en-US" w:eastAsia="zh-CN" w:bidi="zh-CN"/>
        </w:rPr>
      </w:pPr>
      <w:r>
        <w:rPr>
          <w:rFonts w:hint="eastAsia" w:ascii="宋体" w:hAnsi="宋体" w:eastAsia="宋体" w:cs="宋体"/>
          <w:kern w:val="0"/>
          <w:sz w:val="21"/>
          <w:szCs w:val="21"/>
          <w:highlight w:val="none"/>
          <w:lang w:val="en-US" w:eastAsia="zh-CN" w:bidi="zh-CN"/>
        </w:rPr>
        <w:t>第四章</w:t>
      </w:r>
      <w:r>
        <w:rPr>
          <w:rFonts w:hint="eastAsia" w:ascii="宋体" w:hAnsi="宋体" w:eastAsia="宋体" w:cs="宋体"/>
          <w:kern w:val="0"/>
          <w:sz w:val="21"/>
          <w:szCs w:val="21"/>
          <w:highlight w:val="none"/>
          <w:lang w:val="en-US" w:eastAsia="zh-CN" w:bidi="zh-CN"/>
        </w:rPr>
        <w:tab/>
      </w:r>
      <w:r>
        <w:rPr>
          <w:rFonts w:hint="eastAsia" w:ascii="宋体" w:hAnsi="宋体" w:eastAsia="宋体" w:cs="宋体"/>
          <w:kern w:val="0"/>
          <w:sz w:val="21"/>
          <w:szCs w:val="21"/>
          <w:highlight w:val="none"/>
          <w:lang w:val="en-US" w:eastAsia="zh-CN" w:bidi="zh-CN"/>
        </w:rPr>
        <w:t>评审方法和标准</w:t>
      </w:r>
    </w:p>
    <w:p w14:paraId="7E6D0EF7">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hint="eastAsia" w:ascii="宋体" w:hAnsi="宋体" w:eastAsia="宋体" w:cs="宋体"/>
          <w:kern w:val="0"/>
          <w:sz w:val="21"/>
          <w:szCs w:val="21"/>
          <w:highlight w:val="none"/>
          <w:lang w:val="en-US" w:eastAsia="zh-CN" w:bidi="zh-CN"/>
        </w:rPr>
      </w:pPr>
      <w:r>
        <w:rPr>
          <w:rFonts w:hint="eastAsia" w:ascii="宋体" w:hAnsi="宋体" w:eastAsia="宋体" w:cs="宋体"/>
          <w:kern w:val="0"/>
          <w:sz w:val="21"/>
          <w:szCs w:val="21"/>
          <w:highlight w:val="none"/>
          <w:lang w:val="en-US" w:eastAsia="zh-CN" w:bidi="zh-CN"/>
        </w:rPr>
        <w:t>第五章</w:t>
      </w:r>
      <w:r>
        <w:rPr>
          <w:rFonts w:hint="eastAsia" w:ascii="宋体" w:hAnsi="宋体" w:eastAsia="宋体" w:cs="宋体"/>
          <w:kern w:val="0"/>
          <w:sz w:val="21"/>
          <w:szCs w:val="21"/>
          <w:highlight w:val="none"/>
          <w:lang w:val="en-US" w:eastAsia="zh-CN" w:bidi="zh-CN"/>
        </w:rPr>
        <w:tab/>
      </w:r>
      <w:r>
        <w:rPr>
          <w:rFonts w:hint="eastAsia" w:ascii="宋体" w:hAnsi="宋体" w:eastAsia="宋体" w:cs="宋体"/>
          <w:kern w:val="0"/>
          <w:sz w:val="21"/>
          <w:szCs w:val="21"/>
          <w:highlight w:val="none"/>
          <w:lang w:val="en-US" w:eastAsia="zh-CN" w:bidi="zh-CN"/>
        </w:rPr>
        <w:t>合同文本</w:t>
      </w:r>
    </w:p>
    <w:p w14:paraId="4A38C04B">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hint="eastAsia" w:ascii="宋体" w:hAnsi="宋体" w:eastAsia="宋体" w:cs="宋体"/>
          <w:kern w:val="0"/>
          <w:sz w:val="21"/>
          <w:szCs w:val="21"/>
          <w:highlight w:val="none"/>
          <w:lang w:val="en-US" w:eastAsia="zh-CN" w:bidi="zh-CN"/>
        </w:rPr>
      </w:pPr>
      <w:r>
        <w:rPr>
          <w:rFonts w:hint="eastAsia" w:ascii="宋体" w:hAnsi="宋体" w:eastAsia="宋体" w:cs="宋体"/>
          <w:kern w:val="0"/>
          <w:sz w:val="21"/>
          <w:szCs w:val="21"/>
          <w:highlight w:val="none"/>
          <w:lang w:val="en-US" w:eastAsia="zh-CN" w:bidi="zh-CN"/>
        </w:rPr>
        <w:t>第六章 响应文件格式</w:t>
      </w:r>
    </w:p>
    <w:p w14:paraId="7FBBB6E3">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20" w:firstLineChars="200"/>
        <w:jc w:val="left"/>
        <w:textAlignment w:val="auto"/>
        <w:rPr>
          <w:rFonts w:hint="eastAsia" w:ascii="宋体" w:hAnsi="宋体" w:eastAsia="宋体" w:cs="宋体"/>
          <w:kern w:val="0"/>
          <w:sz w:val="21"/>
          <w:szCs w:val="21"/>
          <w:highlight w:val="none"/>
          <w:lang w:val="en-US" w:eastAsia="zh-CN" w:bidi="zh-CN"/>
        </w:rPr>
      </w:pPr>
      <w:r>
        <w:rPr>
          <w:rFonts w:hint="eastAsia" w:ascii="宋体" w:hAnsi="宋体" w:eastAsia="宋体" w:cs="宋体"/>
          <w:kern w:val="0"/>
          <w:sz w:val="21"/>
          <w:szCs w:val="21"/>
          <w:highlight w:val="none"/>
          <w:lang w:val="en-US" w:eastAsia="zh-CN" w:bidi="zh-CN"/>
        </w:rPr>
        <w:t>第七章 采购供应商询问函和质疑函范本</w:t>
      </w:r>
    </w:p>
    <w:p w14:paraId="4BD63F1E">
      <w:pPr>
        <w:pStyle w:val="42"/>
        <w:keepNext w:val="0"/>
        <w:keepLines w:val="0"/>
        <w:pageBreakBefore w:val="0"/>
        <w:widowControl w:val="0"/>
        <w:numPr>
          <w:ilvl w:val="0"/>
          <w:numId w:val="0"/>
        </w:numPr>
        <w:tabs>
          <w:tab w:val="left" w:pos="1370"/>
        </w:tabs>
        <w:kinsoku/>
        <w:wordWrap/>
        <w:overflowPunct/>
        <w:topLinePunct w:val="0"/>
        <w:autoSpaceDE w:val="0"/>
        <w:autoSpaceDN w:val="0"/>
        <w:bidi w:val="0"/>
        <w:adjustRightInd/>
        <w:snapToGrid/>
        <w:spacing w:line="360" w:lineRule="auto"/>
        <w:ind w:left="0" w:right="0" w:rightChars="0" w:firstLine="420" w:firstLineChars="200"/>
        <w:textAlignment w:val="auto"/>
        <w:rPr>
          <w:rFonts w:ascii="宋体" w:hAnsi="宋体" w:eastAsia="宋体" w:cs="宋体"/>
          <w:kern w:val="0"/>
          <w:sz w:val="21"/>
          <w:szCs w:val="21"/>
          <w:highlight w:val="none"/>
          <w:lang w:val="zh-CN" w:eastAsia="zh-CN" w:bidi="zh-CN"/>
        </w:rPr>
      </w:pPr>
      <w:r>
        <w:rPr>
          <w:rFonts w:hint="eastAsia" w:ascii="宋体" w:hAnsi="宋体" w:eastAsia="宋体" w:cs="宋体"/>
          <w:kern w:val="0"/>
          <w:sz w:val="21"/>
          <w:szCs w:val="21"/>
          <w:highlight w:val="none"/>
          <w:lang w:val="en-US" w:eastAsia="zh-CN" w:bidi="zh-CN"/>
        </w:rPr>
        <w:t>7.2</w:t>
      </w:r>
      <w:r>
        <w:rPr>
          <w:rFonts w:ascii="宋体" w:hAnsi="宋体" w:eastAsia="宋体" w:cs="宋体"/>
          <w:kern w:val="0"/>
          <w:sz w:val="21"/>
          <w:szCs w:val="21"/>
          <w:highlight w:val="none"/>
          <w:lang w:val="zh-CN" w:eastAsia="zh-CN" w:bidi="zh-CN"/>
        </w:rPr>
        <w:t>谈判文件中有不一致的，有澄清的部分以最终的澄清更正内容为准。</w:t>
      </w:r>
    </w:p>
    <w:p w14:paraId="11AA3159">
      <w:pPr>
        <w:pStyle w:val="42"/>
        <w:keepNext w:val="0"/>
        <w:keepLines w:val="0"/>
        <w:pageBreakBefore w:val="0"/>
        <w:widowControl w:val="0"/>
        <w:numPr>
          <w:ilvl w:val="0"/>
          <w:numId w:val="0"/>
        </w:numPr>
        <w:tabs>
          <w:tab w:val="left" w:pos="1370"/>
        </w:tabs>
        <w:kinsoku/>
        <w:wordWrap/>
        <w:overflowPunct/>
        <w:topLinePunct w:val="0"/>
        <w:autoSpaceDE w:val="0"/>
        <w:autoSpaceDN w:val="0"/>
        <w:bidi w:val="0"/>
        <w:adjustRightInd/>
        <w:snapToGrid/>
        <w:spacing w:line="360" w:lineRule="auto"/>
        <w:ind w:left="0" w:right="0" w:rightChars="0" w:firstLine="420" w:firstLineChars="200"/>
        <w:textAlignment w:val="auto"/>
        <w:rPr>
          <w:rFonts w:ascii="宋体" w:hAnsi="宋体" w:eastAsia="宋体" w:cs="宋体"/>
          <w:kern w:val="0"/>
          <w:sz w:val="21"/>
          <w:szCs w:val="21"/>
          <w:highlight w:val="none"/>
          <w:lang w:val="zh-CN" w:eastAsia="zh-CN" w:bidi="zh-CN"/>
        </w:rPr>
      </w:pPr>
      <w:r>
        <w:rPr>
          <w:rFonts w:hint="eastAsia" w:ascii="宋体" w:hAnsi="宋体" w:eastAsia="宋体" w:cs="宋体"/>
          <w:kern w:val="0"/>
          <w:sz w:val="21"/>
          <w:szCs w:val="21"/>
          <w:highlight w:val="none"/>
          <w:lang w:val="en-US" w:eastAsia="zh-CN" w:bidi="zh-CN"/>
        </w:rPr>
        <w:t>7.3</w:t>
      </w:r>
      <w:r>
        <w:rPr>
          <w:rFonts w:ascii="宋体" w:hAnsi="宋体" w:eastAsia="宋体" w:cs="宋体"/>
          <w:kern w:val="0"/>
          <w:sz w:val="21"/>
          <w:szCs w:val="21"/>
          <w:highlight w:val="none"/>
          <w:lang w:val="zh-CN" w:eastAsia="zh-CN" w:bidi="zh-CN"/>
        </w:rPr>
        <w:t>现场考察及相关事项见供应商须知前附表。</w:t>
      </w:r>
    </w:p>
    <w:p w14:paraId="6EB777F3">
      <w:pPr>
        <w:pStyle w:val="42"/>
        <w:keepNext w:val="0"/>
        <w:keepLines w:val="0"/>
        <w:pageBreakBefore w:val="0"/>
        <w:widowControl w:val="0"/>
        <w:numPr>
          <w:ilvl w:val="0"/>
          <w:numId w:val="0"/>
        </w:numPr>
        <w:tabs>
          <w:tab w:val="left" w:pos="1370"/>
        </w:tabs>
        <w:kinsoku/>
        <w:wordWrap/>
        <w:overflowPunct/>
        <w:topLinePunct w:val="0"/>
        <w:autoSpaceDE w:val="0"/>
        <w:autoSpaceDN w:val="0"/>
        <w:bidi w:val="0"/>
        <w:adjustRightInd/>
        <w:snapToGrid/>
        <w:spacing w:line="360" w:lineRule="auto"/>
        <w:ind w:left="0" w:right="0" w:rightChars="0" w:firstLine="420" w:firstLineChars="200"/>
        <w:textAlignment w:val="auto"/>
        <w:rPr>
          <w:rFonts w:ascii="宋体" w:hAnsi="宋体" w:eastAsia="宋体" w:cs="宋体"/>
          <w:sz w:val="21"/>
          <w:szCs w:val="21"/>
          <w:highlight w:val="none"/>
        </w:rPr>
      </w:pPr>
      <w:r>
        <w:rPr>
          <w:rFonts w:hint="eastAsia" w:ascii="宋体" w:hAnsi="宋体" w:eastAsia="宋体" w:cs="宋体"/>
          <w:kern w:val="0"/>
          <w:sz w:val="21"/>
          <w:szCs w:val="21"/>
          <w:highlight w:val="none"/>
          <w:lang w:val="en-US" w:eastAsia="zh-CN" w:bidi="zh-CN"/>
        </w:rPr>
        <w:t>7.4</w:t>
      </w:r>
      <w:r>
        <w:rPr>
          <w:rFonts w:ascii="宋体" w:hAnsi="宋体" w:eastAsia="宋体" w:cs="宋体"/>
          <w:kern w:val="0"/>
          <w:sz w:val="21"/>
          <w:szCs w:val="21"/>
          <w:highlight w:val="none"/>
          <w:lang w:val="zh-CN" w:eastAsia="zh-CN" w:bidi="zh-CN"/>
        </w:rPr>
        <w:t>供应商应认真阅读谈判文件所有的事项、格式、条款和技术规范等。</w:t>
      </w:r>
    </w:p>
    <w:p w14:paraId="414ECDE9">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8.谈判文件的澄清与修改</w:t>
      </w:r>
    </w:p>
    <w:p w14:paraId="4989E24D">
      <w:pPr>
        <w:pageBreakBefore w:val="0"/>
        <w:widowControl w:val="0"/>
        <w:tabs>
          <w:tab w:val="left" w:pos="1097"/>
        </w:tabs>
        <w:kinsoku/>
        <w:wordWrap/>
        <w:overflowPunct/>
        <w:topLinePunct w:val="0"/>
        <w:autoSpaceDE w:val="0"/>
        <w:autoSpaceDN w:val="0"/>
        <w:bidi w:val="0"/>
        <w:spacing w:line="360" w:lineRule="auto"/>
        <w:ind w:left="0" w:right="0" w:rightChars="0" w:firstLine="420" w:firstLineChars="200"/>
        <w:jc w:val="left"/>
        <w:textAlignment w:val="auto"/>
        <w:rPr>
          <w:rFonts w:ascii="宋体" w:hAnsi="宋体" w:eastAsia="宋体" w:cs="宋体"/>
          <w:sz w:val="21"/>
          <w:szCs w:val="21"/>
          <w:highlight w:val="none"/>
          <w:u w:val="single"/>
          <w:lang w:val="en-US" w:eastAsia="zh-CN" w:bidi="zh-CN"/>
        </w:rPr>
      </w:pPr>
      <w:r>
        <w:rPr>
          <w:rFonts w:ascii="宋体" w:hAnsi="宋体" w:eastAsia="宋体" w:cs="宋体"/>
          <w:sz w:val="21"/>
          <w:szCs w:val="21"/>
          <w:highlight w:val="none"/>
          <w:lang w:val="en-US" w:eastAsia="zh-CN" w:bidi="zh-CN"/>
        </w:rPr>
        <w:t>8.1供应商质疑截止时间：见</w:t>
      </w:r>
      <w:r>
        <w:rPr>
          <w:rFonts w:ascii="宋体" w:hAnsi="宋体" w:eastAsia="宋体" w:cs="宋体"/>
          <w:sz w:val="21"/>
          <w:szCs w:val="21"/>
          <w:highlight w:val="none"/>
          <w:u w:val="single"/>
          <w:lang w:val="en-US" w:eastAsia="zh-CN" w:bidi="zh-CN"/>
        </w:rPr>
        <w:t>供应商须知前附表</w:t>
      </w:r>
    </w:p>
    <w:p w14:paraId="29944A20">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9.谈判范围及响应文件中标准和计量单位的使用</w:t>
      </w:r>
    </w:p>
    <w:p w14:paraId="1A858711">
      <w:pPr>
        <w:pStyle w:val="42"/>
        <w:pageBreakBefore w:val="0"/>
        <w:widowControl w:val="0"/>
        <w:numPr>
          <w:ilvl w:val="0"/>
          <w:numId w:val="0"/>
        </w:numPr>
        <w:tabs>
          <w:tab w:val="left" w:pos="1370"/>
        </w:tabs>
        <w:kinsoku/>
        <w:wordWrap/>
        <w:overflowPunct/>
        <w:topLinePunct w:val="0"/>
        <w:bidi w:val="0"/>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9.1</w:t>
      </w:r>
      <w:r>
        <w:rPr>
          <w:sz w:val="21"/>
          <w:szCs w:val="21"/>
          <w:highlight w:val="none"/>
        </w:rPr>
        <w:t>项目有分包的，供应商可参与其中某一个或多个分包的谈判，成交包数详见</w:t>
      </w:r>
      <w:r>
        <w:rPr>
          <w:sz w:val="21"/>
          <w:szCs w:val="21"/>
          <w:highlight w:val="none"/>
          <w:u w:val="single"/>
        </w:rPr>
        <w:t>供应商须知前附表</w:t>
      </w:r>
      <w:r>
        <w:rPr>
          <w:sz w:val="21"/>
          <w:szCs w:val="21"/>
          <w:highlight w:val="none"/>
        </w:rPr>
        <w:t>中规定。</w:t>
      </w:r>
    </w:p>
    <w:p w14:paraId="2592BA1B">
      <w:pPr>
        <w:pStyle w:val="42"/>
        <w:pageBreakBefore w:val="0"/>
        <w:widowControl w:val="0"/>
        <w:numPr>
          <w:ilvl w:val="0"/>
          <w:numId w:val="0"/>
        </w:numPr>
        <w:tabs>
          <w:tab w:val="left" w:pos="1370"/>
        </w:tabs>
        <w:kinsoku/>
        <w:wordWrap/>
        <w:overflowPunct/>
        <w:topLinePunct w:val="0"/>
        <w:bidi w:val="0"/>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9.2</w:t>
      </w:r>
      <w:r>
        <w:rPr>
          <w:sz w:val="21"/>
          <w:szCs w:val="21"/>
          <w:highlight w:val="none"/>
        </w:rPr>
        <w:t>无论谈判文件中是否要求，供应商所投服务及伴随的货物和工程均应符合国家强制性标准。</w:t>
      </w:r>
    </w:p>
    <w:p w14:paraId="28282466">
      <w:pPr>
        <w:pStyle w:val="42"/>
        <w:pageBreakBefore w:val="0"/>
        <w:widowControl w:val="0"/>
        <w:numPr>
          <w:ilvl w:val="0"/>
          <w:numId w:val="0"/>
        </w:numPr>
        <w:tabs>
          <w:tab w:val="left" w:pos="1370"/>
        </w:tabs>
        <w:kinsoku/>
        <w:wordWrap/>
        <w:overflowPunct/>
        <w:topLinePunct w:val="0"/>
        <w:bidi w:val="0"/>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9.3</w:t>
      </w:r>
      <w:r>
        <w:rPr>
          <w:sz w:val="21"/>
          <w:szCs w:val="21"/>
          <w:highlight w:val="none"/>
        </w:rPr>
        <w:t>供应商与采购代理机构之间与谈判有关的所有往来通知、函件和响应文件均用中文表述。供应商随响应文件提供的证明文件和资料可以为其它语言， 但必须附中文译文。翻译的中文资料与外文资料如果出现差异时，以中文为准。</w:t>
      </w:r>
    </w:p>
    <w:p w14:paraId="7195EB24">
      <w:pPr>
        <w:pStyle w:val="42"/>
        <w:pageBreakBefore w:val="0"/>
        <w:widowControl w:val="0"/>
        <w:numPr>
          <w:ilvl w:val="0"/>
          <w:numId w:val="0"/>
        </w:numPr>
        <w:tabs>
          <w:tab w:val="left" w:pos="1370"/>
        </w:tabs>
        <w:kinsoku/>
        <w:wordWrap/>
        <w:overflowPunct/>
        <w:topLinePunct w:val="0"/>
        <w:bidi w:val="0"/>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9.4</w:t>
      </w:r>
      <w:r>
        <w:rPr>
          <w:sz w:val="21"/>
          <w:szCs w:val="21"/>
          <w:highlight w:val="none"/>
        </w:rPr>
        <w:t>除谈判文件中有特殊要求外，响应文件中所使用的计量单位，应采用中华人民共和国法定计量单位。</w:t>
      </w:r>
    </w:p>
    <w:p w14:paraId="7D206380">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10.响应文件构成</w:t>
      </w:r>
    </w:p>
    <w:p w14:paraId="20054419">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sz w:val="21"/>
          <w:szCs w:val="21"/>
          <w:highlight w:val="none"/>
        </w:rPr>
      </w:pPr>
      <w:r>
        <w:rPr>
          <w:rFonts w:hint="eastAsia"/>
          <w:sz w:val="21"/>
          <w:szCs w:val="21"/>
          <w:highlight w:val="none"/>
          <w:lang w:val="en-US" w:eastAsia="zh-CN"/>
        </w:rPr>
        <w:t>10.1</w:t>
      </w:r>
      <w:r>
        <w:rPr>
          <w:sz w:val="21"/>
          <w:szCs w:val="21"/>
          <w:highlight w:val="none"/>
        </w:rPr>
        <w:t>供应商应完整地按谈判文件提供的响应文件格式及要求编写响应文件，具体内容详见</w:t>
      </w:r>
      <w:r>
        <w:rPr>
          <w:rFonts w:hint="eastAsia"/>
          <w:sz w:val="21"/>
          <w:szCs w:val="21"/>
          <w:highlight w:val="none"/>
          <w:lang w:val="en-US" w:eastAsia="zh-CN"/>
        </w:rPr>
        <w:t>六</w:t>
      </w:r>
      <w:r>
        <w:rPr>
          <w:sz w:val="21"/>
          <w:szCs w:val="21"/>
          <w:highlight w:val="none"/>
        </w:rPr>
        <w:t>章</w:t>
      </w:r>
      <w:r>
        <w:rPr>
          <w:rFonts w:hint="eastAsia"/>
          <w:sz w:val="21"/>
          <w:szCs w:val="21"/>
          <w:highlight w:val="none"/>
          <w:lang w:val="en-US" w:eastAsia="zh-CN"/>
        </w:rPr>
        <w:t xml:space="preserve"> </w:t>
      </w:r>
      <w:r>
        <w:rPr>
          <w:sz w:val="21"/>
          <w:szCs w:val="21"/>
          <w:highlight w:val="none"/>
        </w:rPr>
        <w:t>响应文件格式的相关内容。</w:t>
      </w:r>
    </w:p>
    <w:p w14:paraId="00A57CDB">
      <w:pPr>
        <w:pStyle w:val="42"/>
        <w:keepNext w:val="0"/>
        <w:keepLines w:val="0"/>
        <w:pageBreakBefore w:val="0"/>
        <w:widowControl w:val="0"/>
        <w:numPr>
          <w:ilvl w:val="0"/>
          <w:numId w:val="0"/>
        </w:numPr>
        <w:tabs>
          <w:tab w:val="left" w:pos="1490"/>
        </w:tabs>
        <w:kinsoku/>
        <w:wordWrap/>
        <w:overflowPunct/>
        <w:topLinePunct w:val="0"/>
        <w:autoSpaceDE w:val="0"/>
        <w:autoSpaceDN w:val="0"/>
        <w:bidi w:val="0"/>
        <w:adjustRightInd/>
        <w:snapToGrid/>
        <w:spacing w:line="360" w:lineRule="auto"/>
        <w:ind w:left="0" w:right="0" w:rightChars="0" w:firstLine="420" w:firstLineChars="200"/>
        <w:textAlignment w:val="auto"/>
        <w:rPr>
          <w:b/>
          <w:sz w:val="21"/>
          <w:szCs w:val="21"/>
          <w:highlight w:val="none"/>
        </w:rPr>
      </w:pPr>
      <w:r>
        <w:rPr>
          <w:rFonts w:hint="eastAsia"/>
          <w:sz w:val="21"/>
          <w:szCs w:val="21"/>
          <w:highlight w:val="none"/>
          <w:lang w:val="en-US" w:eastAsia="zh-CN"/>
        </w:rPr>
        <w:t>10.2</w:t>
      </w:r>
      <w:r>
        <w:rPr>
          <w:sz w:val="21"/>
          <w:szCs w:val="21"/>
          <w:highlight w:val="none"/>
        </w:rPr>
        <w:t>上述文件应按照谈判文件规定的格式填写、签署和盖章。</w:t>
      </w:r>
    </w:p>
    <w:p w14:paraId="2C96D82C">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highlight w:val="none"/>
          <w:lang w:val="en-US" w:eastAsia="zh-CN"/>
        </w:rPr>
      </w:pPr>
      <w:r>
        <w:rPr>
          <w:rFonts w:hint="eastAsia" w:ascii="宋体" w:hAnsi="宋体" w:eastAsia="宋体" w:cs="宋体"/>
          <w:b/>
          <w:kern w:val="0"/>
          <w:szCs w:val="21"/>
          <w:highlight w:val="none"/>
          <w:lang w:val="en-US" w:eastAsia="zh-CN" w:bidi="zh-CN"/>
        </w:rPr>
        <w:t>11.证明标的的合格性和符合谈判文件规定的技术文件</w:t>
      </w:r>
    </w:p>
    <w:p w14:paraId="312AE3BE">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11.1供应商应提交谈判文件要求的证明文件，证明其响应内容符合谈判文件规定。该证明文件是响应文件的一部分。</w:t>
      </w:r>
    </w:p>
    <w:p w14:paraId="7B080CBF">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11.2上款所述的证明文件，可以是文字资料、图纸和数据。</w:t>
      </w:r>
    </w:p>
    <w:p w14:paraId="08E06B3C">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11.3本条所指证明文件不包括对谈判文件相关部分的文字、图标的复制。</w:t>
      </w:r>
    </w:p>
    <w:p w14:paraId="2E92320C">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11.4为保证公平公正，除非谈判文件另有规定或说明，供应商对同一项目谈判时，不得同时提供备选谈判方案。</w:t>
      </w:r>
    </w:p>
    <w:p w14:paraId="61E418F6">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12.报价</w:t>
      </w:r>
    </w:p>
    <w:p w14:paraId="0360E2D7">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12.1供应商的报价应当包括满足本次谈判全部采购需求所应提供的货物，以及伴随的服务和工程。所有内容均应以人民币报价，供应商的谈判报价应遵守《中华人民共和国价格法》。</w:t>
      </w:r>
    </w:p>
    <w:p w14:paraId="4E061B49">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12.2供应商应在投标分项报价表上标明投标货物及相关服务的单价（如适用）和总价。未标明的视同包含在投标报价中。</w:t>
      </w:r>
    </w:p>
    <w:p w14:paraId="73BFE44C">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12.3除非谈判文件另有规定或经采购人同意支付的，最后报价均不得高于谈判文件（公告）列明的最高限价，否则其响应文件将被认定为响应无效。</w:t>
      </w:r>
    </w:p>
    <w:p w14:paraId="393E7FB8">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12.4报价在合同履行过程中是固定不变的，不得以任何理由予以变更。任何包含价格调整要求的谈判，其响应文件将被认定为响应无效。</w:t>
      </w:r>
    </w:p>
    <w:p w14:paraId="193CCFA8">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12.5采购人不接受具有附加条件的报价。</w:t>
      </w:r>
    </w:p>
    <w:p w14:paraId="2FACED84">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13.谈判保证金</w:t>
      </w:r>
    </w:p>
    <w:p w14:paraId="1414624D">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免收</w:t>
      </w:r>
    </w:p>
    <w:p w14:paraId="5B9838C7">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14.谈判有效期</w:t>
      </w:r>
    </w:p>
    <w:p w14:paraId="4D9BB9ED">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14.1谈判有效期为从响应文件提交截止之日算起的日历天数，谈判有效期详见供应商须知前附表。</w:t>
      </w:r>
    </w:p>
    <w:p w14:paraId="50F960C7">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14.2在谈判有效期内，供应商的谈判保持有效，供应商不得要求撤销或修改其响应文件。谈判有效期不满足要求的响应，其响应文件将被认定为响应无效。</w:t>
      </w:r>
    </w:p>
    <w:p w14:paraId="7185B464">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14.3为保证有充分时间签订合同，采购人或采购代理机构可根据实际情况， 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714771C2">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15.响应文件的制作</w:t>
      </w:r>
    </w:p>
    <w:p w14:paraId="4CDCDA85">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15.1</w:t>
      </w:r>
      <w:r>
        <w:rPr>
          <w:rFonts w:hint="eastAsia" w:ascii="宋体" w:hAnsi="宋体" w:eastAsia="宋体" w:cs="宋体"/>
          <w:sz w:val="21"/>
          <w:szCs w:val="21"/>
          <w:highlight w:val="none"/>
          <w:lang w:val="zh-CN" w:eastAsia="zh-CN"/>
        </w:rPr>
        <w:t>响应文件应按第</w:t>
      </w:r>
      <w:r>
        <w:rPr>
          <w:rFonts w:hint="eastAsia" w:cs="宋体"/>
          <w:sz w:val="21"/>
          <w:szCs w:val="21"/>
          <w:highlight w:val="none"/>
          <w:lang w:val="en-US" w:eastAsia="zh-CN"/>
        </w:rPr>
        <w:t>六</w:t>
      </w:r>
      <w:r>
        <w:rPr>
          <w:rFonts w:hint="eastAsia" w:ascii="宋体" w:hAnsi="宋体" w:eastAsia="宋体" w:cs="宋体"/>
          <w:sz w:val="21"/>
          <w:szCs w:val="21"/>
          <w:highlight w:val="none"/>
          <w:lang w:val="zh-CN" w:eastAsia="zh-CN"/>
        </w:rPr>
        <w:t>章“响应文件格式”进行编写，如有必要，可以增加附页，作为响应文件的组成部分。</w:t>
      </w:r>
    </w:p>
    <w:p w14:paraId="49064D3A">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15.2</w:t>
      </w:r>
      <w:r>
        <w:rPr>
          <w:rFonts w:hint="eastAsia" w:ascii="宋体" w:hAnsi="宋体" w:eastAsia="宋体" w:cs="宋体"/>
          <w:sz w:val="21"/>
          <w:szCs w:val="21"/>
          <w:highlight w:val="none"/>
          <w:lang w:val="zh-CN" w:eastAsia="zh-CN"/>
        </w:rPr>
        <w:t>响应文件应当对</w:t>
      </w:r>
      <w:r>
        <w:rPr>
          <w:rFonts w:hint="eastAsia" w:ascii="宋体" w:hAnsi="宋体" w:eastAsia="宋体" w:cs="宋体"/>
          <w:sz w:val="21"/>
          <w:szCs w:val="21"/>
          <w:highlight w:val="none"/>
          <w:lang w:val="en-US" w:eastAsia="zh-CN"/>
        </w:rPr>
        <w:t>谈判</w:t>
      </w:r>
      <w:r>
        <w:rPr>
          <w:rFonts w:hint="eastAsia" w:ascii="宋体" w:hAnsi="宋体" w:eastAsia="宋体" w:cs="宋体"/>
          <w:sz w:val="21"/>
          <w:szCs w:val="21"/>
          <w:highlight w:val="none"/>
          <w:lang w:val="zh-CN" w:eastAsia="zh-CN"/>
        </w:rPr>
        <w:t>文件有关服务地点、服务期限、服务标准、付款方式等实质性内容作出响应。响应文件在满足</w:t>
      </w:r>
      <w:r>
        <w:rPr>
          <w:rFonts w:hint="eastAsia" w:ascii="宋体" w:hAnsi="宋体" w:eastAsia="宋体" w:cs="宋体"/>
          <w:sz w:val="21"/>
          <w:szCs w:val="21"/>
          <w:highlight w:val="none"/>
          <w:lang w:val="en-US" w:eastAsia="zh-CN"/>
        </w:rPr>
        <w:t>谈判</w:t>
      </w:r>
      <w:r>
        <w:rPr>
          <w:rFonts w:hint="eastAsia" w:ascii="宋体" w:hAnsi="宋体" w:eastAsia="宋体" w:cs="宋体"/>
          <w:sz w:val="21"/>
          <w:szCs w:val="21"/>
          <w:highlight w:val="none"/>
          <w:lang w:val="zh-CN" w:eastAsia="zh-CN"/>
        </w:rPr>
        <w:t>文件实质性要求的基础上，可以提出比</w:t>
      </w:r>
      <w:r>
        <w:rPr>
          <w:rFonts w:hint="eastAsia" w:ascii="宋体" w:hAnsi="宋体" w:eastAsia="宋体" w:cs="宋体"/>
          <w:sz w:val="21"/>
          <w:szCs w:val="21"/>
          <w:highlight w:val="none"/>
          <w:lang w:val="en-US" w:eastAsia="zh-CN"/>
        </w:rPr>
        <w:t>谈判</w:t>
      </w:r>
      <w:r>
        <w:rPr>
          <w:rFonts w:hint="eastAsia" w:ascii="宋体" w:hAnsi="宋体" w:eastAsia="宋体" w:cs="宋体"/>
          <w:sz w:val="21"/>
          <w:szCs w:val="21"/>
          <w:highlight w:val="none"/>
          <w:lang w:val="zh-CN" w:eastAsia="zh-CN"/>
        </w:rPr>
        <w:t>文件要求更有利于采购人的承诺。</w:t>
      </w:r>
    </w:p>
    <w:p w14:paraId="155D28A3">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15.3</w:t>
      </w:r>
      <w:r>
        <w:rPr>
          <w:rFonts w:hint="eastAsia" w:ascii="宋体" w:hAnsi="宋体" w:eastAsia="宋体" w:cs="宋体"/>
          <w:sz w:val="21"/>
          <w:szCs w:val="21"/>
          <w:highlight w:val="none"/>
          <w:lang w:val="zh-CN" w:eastAsia="zh-CN"/>
        </w:rPr>
        <w:t>响应文件应用不褪色的材料书写或打印，响应函及对响应文件的澄清、说明和补正应由供应商的法定代表人（单位负责人）或其授权的代理人签字或盖单位章。由响应人的法定代表人（单位负责人）签字的，应附法定代表人（单位负责人）身份证明，由代理人签字的，应附授权书，身份证明或授权书应符合第</w:t>
      </w:r>
      <w:r>
        <w:rPr>
          <w:rFonts w:hint="eastAsia" w:ascii="宋体" w:hAnsi="宋体" w:eastAsia="宋体" w:cs="宋体"/>
          <w:sz w:val="21"/>
          <w:szCs w:val="21"/>
          <w:highlight w:val="none"/>
          <w:lang w:val="en-US" w:eastAsia="zh-CN"/>
        </w:rPr>
        <w:t>五</w:t>
      </w:r>
      <w:r>
        <w:rPr>
          <w:rFonts w:hint="eastAsia" w:ascii="宋体" w:hAnsi="宋体" w:eastAsia="宋体" w:cs="宋体"/>
          <w:sz w:val="21"/>
          <w:szCs w:val="21"/>
          <w:highlight w:val="none"/>
          <w:lang w:val="zh-CN" w:eastAsia="zh-CN"/>
        </w:rPr>
        <w:t>章“响应文件格式”的要求。响应文件应尽量避免涂改、行间插字或删除。如果出现上述情况，改动之处应由供应商的法定代表人（单位负责人）或其授权的代理人签字或盖单位章。</w:t>
      </w:r>
    </w:p>
    <w:p w14:paraId="38A1E2D1">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15.4谈判现场提交的其他材料要求详见供应商须知前附表。</w:t>
      </w:r>
    </w:p>
    <w:p w14:paraId="6F015589">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16.响应文件提交截止时间</w:t>
      </w:r>
    </w:p>
    <w:p w14:paraId="2615C054">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供应商应在供应商须知前附表中规定的响应文件提交截止时间前，递交响应文件。</w:t>
      </w:r>
    </w:p>
    <w:p w14:paraId="6BB1FC46">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17.响应文件的提交、修改与撤回</w:t>
      </w:r>
    </w:p>
    <w:p w14:paraId="5FF26065">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17.1供应商应当在第一章“谈判公告（或谈判邀请）”规定的响应文件提交截止时间前，递交响应文件。</w:t>
      </w:r>
    </w:p>
    <w:p w14:paraId="687C52C2">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17.2供应商应当在响应文件提交截止时间前完成响应文件的传输提交，并可以补充、修改或者撤回响应文件。响应文件提交截止时间前未完成响应文件传输的，视为撤回响应文件。</w:t>
      </w:r>
    </w:p>
    <w:p w14:paraId="567CC934">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17.3在响应文件提交截止时间之后，供应商不得对其响应文件做任何修改。但属于谈判小组在评审中发现的计算错误并进行核实的修改、按照谈判文件的变动情况和谈判小组的要求重新提交响应文件的，不在此列。</w:t>
      </w:r>
    </w:p>
    <w:p w14:paraId="6EDD522A">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18.谈判小组</w:t>
      </w:r>
    </w:p>
    <w:p w14:paraId="45BDAAA0">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18.1本项目将依法组建谈判小组，谈判小组成员由 3 人以上单数组成，谈判小组及其成员应当依照政府采购的有关规定履行相关职责和义务。</w:t>
      </w:r>
    </w:p>
    <w:p w14:paraId="7830145D">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18.2谈判小组依法对响应文件进行评审，并根据谈判文件规定的程序、评定成交的标准等事项与实质性响应谈判文件要求的供应商进行谈判。</w:t>
      </w:r>
    </w:p>
    <w:p w14:paraId="7E18A7D9">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18.3谈判小组应当从质量和服务均能满足谈判文件实质性响应要求的供应商中，按照评审方法和标准推荐成交候选人，并编写评审报告。</w:t>
      </w:r>
    </w:p>
    <w:p w14:paraId="12FA6D1B">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19.响应文件的评审与谈判</w:t>
      </w:r>
    </w:p>
    <w:p w14:paraId="3B18A50B">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19.1采购人将在供应商须知前附表规定的时间和地点组织谈判。</w:t>
      </w:r>
    </w:p>
    <w:p w14:paraId="6720E2FA">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19.2竞争性谈判采用最低评审价法评审。</w:t>
      </w:r>
    </w:p>
    <w:p w14:paraId="4E24F4C1">
      <w:pPr>
        <w:pStyle w:val="42"/>
        <w:keepNext w:val="0"/>
        <w:keepLines w:val="0"/>
        <w:pageBreakBefore w:val="0"/>
        <w:widowControl w:val="0"/>
        <w:tabs>
          <w:tab w:val="left" w:pos="1550"/>
        </w:tabs>
        <w:kinsoku/>
        <w:wordWrap/>
        <w:overflowPunct/>
        <w:topLinePunct w:val="0"/>
        <w:autoSpaceDE w:val="0"/>
        <w:autoSpaceDN w:val="0"/>
        <w:bidi w:val="0"/>
        <w:adjustRightInd/>
        <w:snapToGrid/>
        <w:spacing w:line="360" w:lineRule="auto"/>
        <w:ind w:left="0" w:right="0" w:rightChars="0" w:firstLine="422" w:firstLineChars="200"/>
        <w:textAlignment w:val="auto"/>
        <w:rPr>
          <w:sz w:val="21"/>
          <w:szCs w:val="21"/>
          <w:highlight w:val="none"/>
        </w:rPr>
      </w:pPr>
      <w:r>
        <w:rPr>
          <w:b/>
          <w:bCs/>
          <w:sz w:val="21"/>
          <w:szCs w:val="21"/>
          <w:highlight w:val="none"/>
        </w:rPr>
        <w:t>最低评审价法，是指响应文件满足谈判文件全部实质性要求且最后</w:t>
      </w:r>
      <w:r>
        <w:rPr>
          <w:rFonts w:hint="eastAsia"/>
          <w:b/>
          <w:bCs/>
          <w:sz w:val="21"/>
          <w:szCs w:val="21"/>
          <w:highlight w:val="none"/>
          <w:lang w:val="en-US" w:eastAsia="zh-CN"/>
        </w:rPr>
        <w:t>不含税</w:t>
      </w:r>
      <w:r>
        <w:rPr>
          <w:b/>
          <w:bCs/>
          <w:sz w:val="21"/>
          <w:szCs w:val="21"/>
          <w:highlight w:val="none"/>
        </w:rPr>
        <w:t>报价最低的供应商为成交候选人的评审方法。</w:t>
      </w:r>
    </w:p>
    <w:p w14:paraId="2F8111FB">
      <w:pPr>
        <w:pStyle w:val="42"/>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19.3</w:t>
      </w:r>
      <w:r>
        <w:rPr>
          <w:sz w:val="21"/>
          <w:szCs w:val="21"/>
          <w:highlight w:val="none"/>
        </w:rPr>
        <w:t>谈判小组将按照谈判文件规定的评审方法和标准对供应商独立进行评审。评审程序如下：</w:t>
      </w:r>
    </w:p>
    <w:p w14:paraId="51CBB6A8">
      <w:pPr>
        <w:pStyle w:val="42"/>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0" w:right="0" w:rightChars="0" w:firstLine="422" w:firstLineChars="200"/>
        <w:jc w:val="both"/>
        <w:textAlignment w:val="auto"/>
        <w:rPr>
          <w:sz w:val="21"/>
          <w:szCs w:val="21"/>
          <w:highlight w:val="none"/>
        </w:rPr>
      </w:pPr>
      <w:r>
        <w:rPr>
          <w:rFonts w:hint="eastAsia"/>
          <w:b/>
          <w:bCs/>
          <w:sz w:val="21"/>
          <w:szCs w:val="21"/>
          <w:highlight w:val="none"/>
          <w:lang w:val="en-US" w:eastAsia="zh-CN"/>
        </w:rPr>
        <w:t>19.3.1</w:t>
      </w:r>
      <w:r>
        <w:rPr>
          <w:b/>
          <w:bCs/>
          <w:sz w:val="21"/>
          <w:szCs w:val="21"/>
          <w:highlight w:val="none"/>
        </w:rPr>
        <w:t>初审</w:t>
      </w:r>
      <w:r>
        <w:rPr>
          <w:sz w:val="21"/>
          <w:szCs w:val="21"/>
          <w:highlight w:val="none"/>
        </w:rPr>
        <w:t>。谈判小组对供应商必须满足和实质性响应的内容进行评审，供应商未实质性响应谈判文件要求导致响应无效的，谈判小组将以书面询标的方式告知有关供应商。</w:t>
      </w:r>
    </w:p>
    <w:p w14:paraId="27AB32D9">
      <w:pPr>
        <w:pStyle w:val="42"/>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0" w:right="0" w:rightChars="0" w:firstLine="422" w:firstLineChars="200"/>
        <w:jc w:val="both"/>
        <w:textAlignment w:val="auto"/>
        <w:rPr>
          <w:sz w:val="21"/>
          <w:szCs w:val="21"/>
          <w:highlight w:val="none"/>
        </w:rPr>
      </w:pPr>
      <w:r>
        <w:rPr>
          <w:rFonts w:hint="eastAsia"/>
          <w:b/>
          <w:bCs/>
          <w:sz w:val="21"/>
          <w:szCs w:val="21"/>
          <w:highlight w:val="none"/>
          <w:lang w:val="en-US" w:eastAsia="zh-CN"/>
        </w:rPr>
        <w:t>19.3.2</w:t>
      </w:r>
      <w:r>
        <w:rPr>
          <w:b/>
          <w:bCs/>
          <w:sz w:val="21"/>
          <w:szCs w:val="21"/>
          <w:highlight w:val="none"/>
        </w:rPr>
        <w:t>谈判</w:t>
      </w:r>
      <w:r>
        <w:rPr>
          <w:sz w:val="21"/>
          <w:szCs w:val="21"/>
          <w:highlight w:val="none"/>
        </w:rPr>
        <w:t>。初审合格后，谈判小组将按响应文件提交顺序集中与单一供应商分别进行谈判，并给予所有参加谈判的供应商平等的谈判机会，如供应商未</w:t>
      </w:r>
      <w:r>
        <w:rPr>
          <w:rFonts w:hint="eastAsia"/>
          <w:sz w:val="21"/>
          <w:szCs w:val="21"/>
          <w:highlight w:val="none"/>
          <w:lang w:val="en-US" w:eastAsia="zh-CN"/>
        </w:rPr>
        <w:t>及时响应</w:t>
      </w:r>
      <w:r>
        <w:rPr>
          <w:sz w:val="21"/>
          <w:szCs w:val="21"/>
          <w:highlight w:val="none"/>
        </w:rPr>
        <w:t>的，视同放弃该权利。</w:t>
      </w:r>
    </w:p>
    <w:p w14:paraId="56EFDE96">
      <w:pPr>
        <w:pStyle w:val="42"/>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0" w:right="0" w:rightChars="0" w:firstLine="422" w:firstLineChars="200"/>
        <w:jc w:val="both"/>
        <w:textAlignment w:val="auto"/>
        <w:rPr>
          <w:rFonts w:ascii="宋体" w:hAnsi="宋体" w:eastAsia="宋体" w:cs="宋体"/>
          <w:sz w:val="21"/>
          <w:szCs w:val="21"/>
          <w:highlight w:val="none"/>
        </w:rPr>
      </w:pPr>
      <w:r>
        <w:rPr>
          <w:rFonts w:hint="eastAsia" w:cs="宋体"/>
          <w:b/>
          <w:bCs/>
          <w:sz w:val="21"/>
          <w:szCs w:val="21"/>
          <w:highlight w:val="none"/>
          <w:lang w:val="en-US" w:eastAsia="zh-CN"/>
        </w:rPr>
        <w:t>19.3.3</w:t>
      </w:r>
      <w:r>
        <w:rPr>
          <w:rFonts w:ascii="宋体" w:hAnsi="宋体" w:eastAsia="宋体" w:cs="宋体"/>
          <w:b/>
          <w:bCs/>
          <w:sz w:val="21"/>
          <w:szCs w:val="21"/>
          <w:highlight w:val="none"/>
        </w:rPr>
        <w:t>报价</w:t>
      </w:r>
      <w:r>
        <w:rPr>
          <w:rFonts w:ascii="宋体" w:hAnsi="宋体" w:eastAsia="宋体" w:cs="宋体"/>
          <w:sz w:val="21"/>
          <w:szCs w:val="21"/>
          <w:highlight w:val="none"/>
        </w:rPr>
        <w:t>。谈判结束后，谈判小组应当要求所有继续参加谈判的供应商在规定时间内提交最后报价。</w:t>
      </w:r>
    </w:p>
    <w:p w14:paraId="714698C5">
      <w:pPr>
        <w:pStyle w:val="42"/>
        <w:keepNext w:val="0"/>
        <w:keepLines w:val="0"/>
        <w:pageBreakBefore w:val="0"/>
        <w:widowControl w:val="0"/>
        <w:numPr>
          <w:ilvl w:val="0"/>
          <w:numId w:val="0"/>
        </w:numPr>
        <w:tabs>
          <w:tab w:val="left" w:pos="1490"/>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19.4</w:t>
      </w:r>
      <w:r>
        <w:rPr>
          <w:sz w:val="21"/>
          <w:szCs w:val="21"/>
          <w:highlight w:val="none"/>
        </w:rPr>
        <w:t>相关说明。</w:t>
      </w:r>
    </w:p>
    <w:p w14:paraId="785100C9">
      <w:pPr>
        <w:pStyle w:val="42"/>
        <w:keepNext w:val="0"/>
        <w:keepLines w:val="0"/>
        <w:pageBreakBefore w:val="0"/>
        <w:widowControl w:val="0"/>
        <w:numPr>
          <w:ilvl w:val="0"/>
          <w:numId w:val="0"/>
        </w:numPr>
        <w:tabs>
          <w:tab w:val="left" w:pos="1713"/>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 xml:space="preserve">19.4.1 </w:t>
      </w:r>
      <w:r>
        <w:rPr>
          <w:sz w:val="21"/>
          <w:szCs w:val="21"/>
          <w:highlight w:val="none"/>
        </w:rPr>
        <w:t>为保证谈判活动顺利进行，供应商可派相关技术人员进行现场答疑；</w:t>
      </w:r>
    </w:p>
    <w:p w14:paraId="08063A21">
      <w:pPr>
        <w:pStyle w:val="42"/>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19.4.2</w:t>
      </w:r>
      <w:r>
        <w:rPr>
          <w:sz w:val="21"/>
          <w:szCs w:val="21"/>
          <w:highlight w:val="none"/>
        </w:rPr>
        <w:t>谈判小组根据与供应商谈判情况可能实质性变动谈判文件的内容，包括采购需求中的技术、服务要求以及合同草案条款。谈判文件有实质性变动的，经采购人代表确认作为谈判文件的有效组成部分，谈判小组将以书面形式通知所有参加谈判的供应商。</w:t>
      </w:r>
    </w:p>
    <w:p w14:paraId="14475808">
      <w:pPr>
        <w:pStyle w:val="42"/>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rFonts w:ascii="宋体" w:hAnsi="宋体" w:eastAsia="宋体" w:cs="宋体"/>
          <w:sz w:val="21"/>
          <w:szCs w:val="21"/>
          <w:highlight w:val="none"/>
        </w:rPr>
      </w:pPr>
      <w:r>
        <w:rPr>
          <w:rFonts w:hint="eastAsia" w:cs="宋体"/>
          <w:sz w:val="21"/>
          <w:szCs w:val="21"/>
          <w:highlight w:val="none"/>
          <w:lang w:val="en-US" w:eastAsia="zh-CN"/>
        </w:rPr>
        <w:t>19.4.3</w:t>
      </w:r>
      <w:r>
        <w:rPr>
          <w:rFonts w:ascii="宋体" w:hAnsi="宋体" w:eastAsia="宋体" w:cs="宋体"/>
          <w:sz w:val="21"/>
          <w:szCs w:val="21"/>
          <w:highlight w:val="none"/>
        </w:rPr>
        <w:t>谈判过程中，谈判小组发现供应商的报价或者某些分项报价明显不合理或者低于成本，有可能影响商品质量和不能诚信履约的，应当要求其在规定的期限内提供书面文件予以解释说明，并提交相关证明材料；否则，谈判小组可以取消该供应商的成交候选资格，按顺序由排在后面的成交候选人递补，以此类推。</w:t>
      </w:r>
    </w:p>
    <w:p w14:paraId="64E80EA3">
      <w:pPr>
        <w:pStyle w:val="42"/>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19.4.4</w:t>
      </w:r>
      <w:r>
        <w:rPr>
          <w:sz w:val="21"/>
          <w:szCs w:val="21"/>
          <w:highlight w:val="none"/>
        </w:rPr>
        <w:t>无论何种原因，即使供应商谈判时携带了证书材料的原件，但响应文件中未提供与之内容完全一致的扫描件的，谈判小组可以视同其未提供。</w:t>
      </w:r>
    </w:p>
    <w:p w14:paraId="0B1865A5">
      <w:pPr>
        <w:pStyle w:val="42"/>
        <w:keepNext w:val="0"/>
        <w:keepLines w:val="0"/>
        <w:pageBreakBefore w:val="0"/>
        <w:widowControl w:val="0"/>
        <w:numPr>
          <w:ilvl w:val="0"/>
          <w:numId w:val="0"/>
        </w:numPr>
        <w:tabs>
          <w:tab w:val="left" w:pos="179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19.4.5</w:t>
      </w:r>
      <w:r>
        <w:rPr>
          <w:sz w:val="21"/>
          <w:szCs w:val="21"/>
          <w:highlight w:val="none"/>
        </w:rPr>
        <w:t>谈判小组决定响应文件的响应性及符合性只根据响应文件本身的内容，而不寻求其他外部证据。</w:t>
      </w:r>
    </w:p>
    <w:p w14:paraId="298586D7">
      <w:pPr>
        <w:pStyle w:val="42"/>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19.4.6</w:t>
      </w:r>
      <w:r>
        <w:rPr>
          <w:sz w:val="21"/>
          <w:szCs w:val="21"/>
          <w:highlight w:val="none"/>
        </w:rPr>
        <w:t>供应商授权代表对谈判过程有疑义，以及认为采购人、采购代理机构相关工作人员有需要回避的情形的，应当场提出询问或者回避申请，并说明理由。</w:t>
      </w:r>
    </w:p>
    <w:p w14:paraId="555490E9">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b/>
          <w:kern w:val="0"/>
          <w:szCs w:val="21"/>
          <w:highlight w:val="none"/>
          <w:lang w:val="en-US" w:eastAsia="zh-CN" w:bidi="zh-CN"/>
        </w:rPr>
        <w:t>20.终止竞争性谈判</w:t>
      </w:r>
    </w:p>
    <w:p w14:paraId="02BEDFDF">
      <w:pPr>
        <w:keepNext w:val="0"/>
        <w:keepLines w:val="0"/>
        <w:pageBreakBefore w:val="0"/>
        <w:widowControl w:val="0"/>
        <w:kinsoku/>
        <w:wordWrap/>
        <w:overflowPunct/>
        <w:topLinePunct w:val="0"/>
        <w:autoSpaceDE w:val="0"/>
        <w:autoSpaceDN w:val="0"/>
        <w:bidi w:val="0"/>
        <w:adjustRightInd/>
        <w:snapToGrid/>
        <w:spacing w:before="157" w:line="360" w:lineRule="auto"/>
        <w:ind w:left="0" w:right="0" w:firstLine="420" w:firstLineChars="200"/>
        <w:jc w:val="left"/>
        <w:textAlignment w:val="auto"/>
        <w:rPr>
          <w:rFonts w:hint="eastAsia" w:ascii="宋体" w:hAnsi="宋体" w:eastAsia="宋体" w:cs="宋体"/>
          <w:kern w:val="0"/>
          <w:sz w:val="21"/>
          <w:szCs w:val="21"/>
          <w:highlight w:val="none"/>
          <w:lang w:val="zh-CN" w:eastAsia="zh-CN" w:bidi="zh-CN"/>
        </w:rPr>
      </w:pPr>
      <w:r>
        <w:rPr>
          <w:rFonts w:hint="eastAsia" w:ascii="宋体" w:hAnsi="宋体" w:eastAsia="宋体" w:cs="宋体"/>
          <w:kern w:val="0"/>
          <w:sz w:val="21"/>
          <w:szCs w:val="21"/>
          <w:highlight w:val="none"/>
          <w:lang w:val="zh-CN" w:eastAsia="zh-CN" w:bidi="zh-CN"/>
        </w:rPr>
        <w:t>出现下列情形之一的，采购人或者采购代理机构应当终止谈判采购活动，发布项目终止公告并说明原因，重新开展采购活动：</w:t>
      </w:r>
    </w:p>
    <w:p w14:paraId="63B03042">
      <w:pPr>
        <w:keepNext w:val="0"/>
        <w:keepLines w:val="0"/>
        <w:pageBreakBefore w:val="0"/>
        <w:widowControl w:val="0"/>
        <w:kinsoku/>
        <w:wordWrap/>
        <w:overflowPunct/>
        <w:topLinePunct w:val="0"/>
        <w:autoSpaceDE w:val="0"/>
        <w:autoSpaceDN w:val="0"/>
        <w:bidi w:val="0"/>
        <w:adjustRightInd/>
        <w:snapToGrid/>
        <w:spacing w:before="157" w:line="360" w:lineRule="auto"/>
        <w:ind w:left="0" w:right="0" w:firstLine="420" w:firstLineChars="200"/>
        <w:jc w:val="left"/>
        <w:textAlignment w:val="auto"/>
        <w:rPr>
          <w:rFonts w:hint="eastAsia" w:ascii="宋体" w:hAnsi="宋体" w:eastAsia="宋体" w:cs="宋体"/>
          <w:kern w:val="0"/>
          <w:sz w:val="21"/>
          <w:szCs w:val="21"/>
          <w:highlight w:val="none"/>
          <w:lang w:val="en-US" w:eastAsia="zh-CN" w:bidi="zh-CN"/>
        </w:rPr>
      </w:pPr>
      <w:r>
        <w:rPr>
          <w:rFonts w:hint="eastAsia" w:ascii="宋体" w:hAnsi="宋体" w:eastAsia="宋体" w:cs="宋体"/>
          <w:kern w:val="0"/>
          <w:sz w:val="21"/>
          <w:szCs w:val="21"/>
          <w:highlight w:val="none"/>
          <w:lang w:val="en-US" w:eastAsia="zh-CN" w:bidi="zh-CN"/>
        </w:rPr>
        <w:t>20.1</w:t>
      </w:r>
      <w:r>
        <w:rPr>
          <w:rFonts w:hint="eastAsia" w:ascii="宋体" w:hAnsi="宋体" w:eastAsia="宋体" w:cs="宋体"/>
          <w:kern w:val="0"/>
          <w:sz w:val="21"/>
          <w:szCs w:val="21"/>
          <w:highlight w:val="none"/>
          <w:lang w:val="zh-CN" w:eastAsia="zh-CN" w:bidi="zh-CN"/>
        </w:rPr>
        <w:t>截至</w:t>
      </w:r>
      <w:r>
        <w:rPr>
          <w:rFonts w:hint="eastAsia" w:ascii="宋体" w:hAnsi="宋体" w:eastAsia="宋体" w:cs="宋体"/>
          <w:kern w:val="0"/>
          <w:sz w:val="21"/>
          <w:szCs w:val="21"/>
          <w:highlight w:val="none"/>
          <w:lang w:val="en-US" w:eastAsia="zh-CN" w:bidi="zh-CN"/>
        </w:rPr>
        <w:t>响应时间止，递交响应文件的供应商不足3家的；</w:t>
      </w:r>
    </w:p>
    <w:p w14:paraId="3643A483">
      <w:pPr>
        <w:keepNext w:val="0"/>
        <w:keepLines w:val="0"/>
        <w:pageBreakBefore w:val="0"/>
        <w:widowControl w:val="0"/>
        <w:kinsoku/>
        <w:wordWrap/>
        <w:overflowPunct/>
        <w:topLinePunct w:val="0"/>
        <w:autoSpaceDE w:val="0"/>
        <w:autoSpaceDN w:val="0"/>
        <w:bidi w:val="0"/>
        <w:adjustRightInd/>
        <w:snapToGrid/>
        <w:spacing w:before="157" w:line="360" w:lineRule="auto"/>
        <w:ind w:left="0" w:right="0" w:firstLine="420" w:firstLineChars="200"/>
        <w:jc w:val="left"/>
        <w:textAlignment w:val="auto"/>
        <w:rPr>
          <w:rFonts w:hint="eastAsia" w:ascii="宋体" w:hAnsi="宋体" w:eastAsia="宋体" w:cs="宋体"/>
          <w:kern w:val="0"/>
          <w:sz w:val="21"/>
          <w:szCs w:val="21"/>
          <w:highlight w:val="none"/>
          <w:lang w:val="en-US" w:eastAsia="zh-CN" w:bidi="zh-CN"/>
        </w:rPr>
      </w:pPr>
      <w:r>
        <w:rPr>
          <w:rFonts w:hint="eastAsia" w:ascii="宋体" w:hAnsi="宋体" w:eastAsia="宋体" w:cs="宋体"/>
          <w:kern w:val="0"/>
          <w:sz w:val="21"/>
          <w:szCs w:val="21"/>
          <w:highlight w:val="none"/>
          <w:lang w:val="en-US" w:eastAsia="zh-CN" w:bidi="zh-CN"/>
        </w:rPr>
        <w:t>20.2出现影响采购公正的违法、违规行为的；</w:t>
      </w:r>
    </w:p>
    <w:p w14:paraId="4F9E17A4">
      <w:pPr>
        <w:keepNext w:val="0"/>
        <w:keepLines w:val="0"/>
        <w:pageBreakBefore w:val="0"/>
        <w:widowControl w:val="0"/>
        <w:kinsoku/>
        <w:wordWrap/>
        <w:overflowPunct/>
        <w:topLinePunct w:val="0"/>
        <w:autoSpaceDE w:val="0"/>
        <w:autoSpaceDN w:val="0"/>
        <w:bidi w:val="0"/>
        <w:adjustRightInd/>
        <w:snapToGrid/>
        <w:spacing w:before="157" w:line="360" w:lineRule="auto"/>
        <w:ind w:left="0" w:right="0" w:firstLine="420" w:firstLineChars="200"/>
        <w:jc w:val="left"/>
        <w:textAlignment w:val="auto"/>
        <w:rPr>
          <w:rFonts w:hint="eastAsia" w:ascii="宋体" w:hAnsi="宋体" w:eastAsia="宋体" w:cs="宋体"/>
          <w:kern w:val="0"/>
          <w:sz w:val="21"/>
          <w:szCs w:val="21"/>
          <w:highlight w:val="none"/>
          <w:lang w:val="en-US" w:eastAsia="zh-CN" w:bidi="zh-CN"/>
        </w:rPr>
      </w:pPr>
      <w:r>
        <w:rPr>
          <w:rFonts w:hint="eastAsia" w:ascii="宋体" w:hAnsi="宋体" w:eastAsia="宋体" w:cs="宋体"/>
          <w:kern w:val="0"/>
          <w:sz w:val="21"/>
          <w:szCs w:val="21"/>
          <w:highlight w:val="none"/>
          <w:lang w:val="en-US" w:eastAsia="zh-CN" w:bidi="zh-CN"/>
        </w:rPr>
        <w:t>20.3因不可抗力或重大变故，导致采购任务取消或无法继续进行的。</w:t>
      </w:r>
    </w:p>
    <w:p w14:paraId="2B9A83FA">
      <w:pPr>
        <w:keepNext w:val="0"/>
        <w:keepLines w:val="0"/>
        <w:pageBreakBefore w:val="0"/>
        <w:widowControl w:val="0"/>
        <w:kinsoku/>
        <w:wordWrap/>
        <w:overflowPunct/>
        <w:topLinePunct w:val="0"/>
        <w:autoSpaceDE w:val="0"/>
        <w:autoSpaceDN w:val="0"/>
        <w:bidi w:val="0"/>
        <w:adjustRightInd/>
        <w:snapToGrid/>
        <w:spacing w:before="157" w:line="360" w:lineRule="auto"/>
        <w:ind w:left="0" w:right="0" w:firstLine="420" w:firstLineChars="200"/>
        <w:jc w:val="left"/>
        <w:textAlignment w:val="auto"/>
        <w:rPr>
          <w:rFonts w:hint="eastAsia" w:ascii="宋体" w:hAnsi="宋体" w:eastAsia="宋体" w:cs="宋体"/>
          <w:kern w:val="0"/>
          <w:sz w:val="21"/>
          <w:szCs w:val="21"/>
          <w:highlight w:val="none"/>
          <w:lang w:val="zh-CN" w:eastAsia="zh-CN" w:bidi="zh-CN"/>
        </w:rPr>
      </w:pPr>
      <w:r>
        <w:rPr>
          <w:rFonts w:hint="eastAsia" w:ascii="宋体" w:hAnsi="宋体" w:eastAsia="宋体" w:cs="宋体"/>
          <w:kern w:val="0"/>
          <w:sz w:val="21"/>
          <w:szCs w:val="21"/>
          <w:highlight w:val="none"/>
          <w:lang w:val="en-US" w:eastAsia="zh-CN" w:bidi="zh-CN"/>
        </w:rPr>
        <w:t>20.4</w:t>
      </w:r>
      <w:r>
        <w:rPr>
          <w:rFonts w:hint="eastAsia" w:ascii="宋体" w:hAnsi="宋体" w:eastAsia="宋体" w:cs="宋体"/>
          <w:kern w:val="0"/>
          <w:sz w:val="21"/>
          <w:szCs w:val="21"/>
          <w:highlight w:val="none"/>
          <w:lang w:val="zh-CN" w:eastAsia="zh-CN" w:bidi="zh-CN"/>
        </w:rPr>
        <w:t>因采购需求发生重大调整（如技术参数、服务标准、交付时间等变化），导致原谈判文件无法继续适用的；</w:t>
      </w:r>
    </w:p>
    <w:p w14:paraId="7634D982">
      <w:pPr>
        <w:keepNext w:val="0"/>
        <w:keepLines w:val="0"/>
        <w:pageBreakBefore w:val="0"/>
        <w:widowControl w:val="0"/>
        <w:kinsoku/>
        <w:wordWrap/>
        <w:overflowPunct/>
        <w:topLinePunct w:val="0"/>
        <w:autoSpaceDE w:val="0"/>
        <w:autoSpaceDN w:val="0"/>
        <w:bidi w:val="0"/>
        <w:adjustRightInd/>
        <w:snapToGrid/>
        <w:spacing w:before="157" w:line="360" w:lineRule="auto"/>
        <w:ind w:left="0" w:right="0" w:firstLine="420" w:firstLineChars="200"/>
        <w:jc w:val="left"/>
        <w:textAlignment w:val="auto"/>
        <w:rPr>
          <w:rFonts w:hint="eastAsia" w:ascii="宋体" w:hAnsi="宋体" w:eastAsia="宋体" w:cs="宋体"/>
          <w:kern w:val="0"/>
          <w:sz w:val="21"/>
          <w:szCs w:val="21"/>
          <w:highlight w:val="none"/>
          <w:lang w:val="zh-CN" w:eastAsia="zh-CN" w:bidi="zh-CN"/>
        </w:rPr>
      </w:pPr>
      <w:r>
        <w:rPr>
          <w:rFonts w:hint="eastAsia" w:ascii="宋体" w:hAnsi="宋体" w:eastAsia="宋体" w:cs="宋体"/>
          <w:kern w:val="0"/>
          <w:sz w:val="21"/>
          <w:szCs w:val="21"/>
          <w:highlight w:val="none"/>
          <w:lang w:val="en-US" w:eastAsia="zh-CN" w:bidi="zh-CN"/>
        </w:rPr>
        <w:t>20.5</w:t>
      </w:r>
      <w:r>
        <w:rPr>
          <w:rFonts w:hint="eastAsia" w:ascii="宋体" w:hAnsi="宋体" w:eastAsia="宋体" w:cs="宋体"/>
          <w:kern w:val="0"/>
          <w:sz w:val="21"/>
          <w:szCs w:val="21"/>
          <w:highlight w:val="none"/>
          <w:lang w:val="zh-CN" w:eastAsia="zh-CN" w:bidi="zh-CN"/>
        </w:rPr>
        <w:t>评审委员会发现供应商之间存在串通报价、弄虚作假等恶意竞争行为，导致本次采购缺乏公平性的；</w:t>
      </w:r>
    </w:p>
    <w:p w14:paraId="0BA7BEA7">
      <w:pPr>
        <w:pStyle w:val="42"/>
        <w:keepNext w:val="0"/>
        <w:keepLines w:val="0"/>
        <w:pageBreakBefore w:val="0"/>
        <w:widowControl w:val="0"/>
        <w:numPr>
          <w:ilvl w:val="0"/>
          <w:numId w:val="0"/>
        </w:numPr>
        <w:tabs>
          <w:tab w:val="left" w:pos="1551"/>
        </w:tabs>
        <w:kinsoku/>
        <w:wordWrap/>
        <w:overflowPunct/>
        <w:topLinePunct w:val="0"/>
        <w:autoSpaceDE w:val="0"/>
        <w:autoSpaceDN w:val="0"/>
        <w:bidi w:val="0"/>
        <w:adjustRightInd/>
        <w:snapToGrid/>
        <w:spacing w:line="360" w:lineRule="auto"/>
        <w:ind w:left="0" w:right="0" w:rightChars="0" w:firstLine="420" w:firstLineChars="200"/>
        <w:textAlignment w:val="auto"/>
        <w:rPr>
          <w:rFonts w:hint="eastAsia" w:ascii="宋体" w:hAnsi="宋体" w:eastAsia="宋体" w:cs="宋体"/>
          <w:kern w:val="0"/>
          <w:sz w:val="21"/>
          <w:szCs w:val="21"/>
          <w:highlight w:val="none"/>
          <w:lang w:val="en-US" w:eastAsia="zh-CN" w:bidi="zh-CN"/>
        </w:rPr>
      </w:pPr>
      <w:r>
        <w:rPr>
          <w:rFonts w:hint="eastAsia" w:ascii="宋体" w:hAnsi="宋体" w:eastAsia="宋体" w:cs="宋体"/>
          <w:kern w:val="0"/>
          <w:sz w:val="21"/>
          <w:szCs w:val="21"/>
          <w:highlight w:val="none"/>
          <w:lang w:val="en-US" w:eastAsia="zh-CN" w:bidi="zh-CN"/>
        </w:rPr>
        <w:t>20.6</w:t>
      </w:r>
      <w:r>
        <w:rPr>
          <w:rFonts w:hint="eastAsia" w:ascii="宋体" w:hAnsi="宋体" w:eastAsia="宋体" w:cs="宋体"/>
          <w:kern w:val="0"/>
          <w:sz w:val="21"/>
          <w:szCs w:val="21"/>
          <w:highlight w:val="none"/>
          <w:lang w:val="zh-CN" w:eastAsia="zh-CN" w:bidi="zh-CN"/>
        </w:rPr>
        <w:t>法律、法规或公司采购管理制度规定的其他应当终止的情形</w:t>
      </w:r>
      <w:r>
        <w:rPr>
          <w:rFonts w:hint="eastAsia" w:ascii="宋体" w:hAnsi="宋体" w:eastAsia="宋体" w:cs="宋体"/>
          <w:kern w:val="0"/>
          <w:sz w:val="21"/>
          <w:szCs w:val="21"/>
          <w:highlight w:val="none"/>
          <w:lang w:val="en-US" w:eastAsia="zh-CN" w:bidi="zh-CN"/>
        </w:rPr>
        <w:t>。</w:t>
      </w:r>
    </w:p>
    <w:p w14:paraId="4F5EF436">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21.响应文件的澄清、说明或更正</w:t>
      </w:r>
    </w:p>
    <w:p w14:paraId="4FD62EBE">
      <w:pPr>
        <w:pStyle w:val="42"/>
        <w:keepNext w:val="0"/>
        <w:keepLines w:val="0"/>
        <w:pageBreakBefore w:val="0"/>
        <w:widowControl w:val="0"/>
        <w:numPr>
          <w:ilvl w:val="0"/>
          <w:numId w:val="0"/>
        </w:numPr>
        <w:tabs>
          <w:tab w:val="left" w:pos="1586"/>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21.1</w:t>
      </w:r>
      <w:r>
        <w:rPr>
          <w:sz w:val="21"/>
          <w:szCs w:val="21"/>
          <w:highlight w:val="none"/>
        </w:rPr>
        <w:t>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4F3455C6">
      <w:pPr>
        <w:pStyle w:val="42"/>
        <w:keepNext w:val="0"/>
        <w:keepLines w:val="0"/>
        <w:pageBreakBefore w:val="0"/>
        <w:widowControl w:val="0"/>
        <w:numPr>
          <w:ilvl w:val="0"/>
          <w:numId w:val="0"/>
        </w:numPr>
        <w:tabs>
          <w:tab w:val="left" w:pos="1526"/>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21.2</w:t>
      </w:r>
      <w:r>
        <w:rPr>
          <w:sz w:val="21"/>
          <w:szCs w:val="21"/>
          <w:highlight w:val="none"/>
        </w:rPr>
        <w:t>谈判小组要求供应商澄清、说明或者更正响应文件应当以书面形式（询标）作出。供应商的澄清、说明或者更正应当由法定代表人或其授权代表签字或者加盖公章。</w:t>
      </w:r>
    </w:p>
    <w:p w14:paraId="32D0063F">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22.最后报价</w:t>
      </w:r>
    </w:p>
    <w:p w14:paraId="471C915D">
      <w:pPr>
        <w:pStyle w:val="42"/>
        <w:keepNext w:val="0"/>
        <w:keepLines w:val="0"/>
        <w:pageBreakBefore w:val="0"/>
        <w:widowControl w:val="0"/>
        <w:numPr>
          <w:ilvl w:val="0"/>
          <w:numId w:val="0"/>
        </w:numPr>
        <w:tabs>
          <w:tab w:val="left" w:pos="1586"/>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22.1谈判并不限定只进行二轮报价，如果谈判小组认为有必要，可以要求供应商进行多轮报价。</w:t>
      </w:r>
    </w:p>
    <w:p w14:paraId="41531CD3">
      <w:pPr>
        <w:pStyle w:val="42"/>
        <w:keepNext w:val="0"/>
        <w:keepLines w:val="0"/>
        <w:pageBreakBefore w:val="0"/>
        <w:widowControl w:val="0"/>
        <w:numPr>
          <w:ilvl w:val="0"/>
          <w:numId w:val="0"/>
        </w:numPr>
        <w:tabs>
          <w:tab w:val="left" w:pos="1586"/>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22.2在谈判内容不做实质性变更或重大调整的前提下，供应商下轮报价不得高于上一轮报价。</w:t>
      </w:r>
    </w:p>
    <w:p w14:paraId="0722DD3E">
      <w:pPr>
        <w:pStyle w:val="42"/>
        <w:keepNext w:val="0"/>
        <w:keepLines w:val="0"/>
        <w:pageBreakBefore w:val="0"/>
        <w:widowControl w:val="0"/>
        <w:numPr>
          <w:ilvl w:val="0"/>
          <w:numId w:val="0"/>
        </w:numPr>
        <w:tabs>
          <w:tab w:val="left" w:pos="1586"/>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22.3最后报价是供应商响应文件的有效组成部分，最后报价也是签订合同的依据。</w:t>
      </w:r>
    </w:p>
    <w:p w14:paraId="18B2DE11">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23.成交候选人的推荐原则及标准</w:t>
      </w:r>
    </w:p>
    <w:p w14:paraId="1FBBEB64">
      <w:pPr>
        <w:pStyle w:val="42"/>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sz w:val="21"/>
          <w:szCs w:val="21"/>
          <w:highlight w:val="none"/>
        </w:rPr>
        <w:t>谈判小组依据本项目谈判文件所约定的评审方法和标准，按照最后报价由低到高的顺序依次推荐成交候选人。最后报价相同的，则由谈判小组采取随机抽取方式确定。</w:t>
      </w:r>
    </w:p>
    <w:p w14:paraId="6B37184F">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24.确定成交候选人和成交供应商</w:t>
      </w:r>
    </w:p>
    <w:p w14:paraId="518F50F8">
      <w:pPr>
        <w:pStyle w:val="42"/>
        <w:keepNext w:val="0"/>
        <w:keepLines w:val="0"/>
        <w:pageBreakBefore w:val="0"/>
        <w:widowControl w:val="0"/>
        <w:numPr>
          <w:ilvl w:val="0"/>
          <w:numId w:val="0"/>
        </w:numPr>
        <w:tabs>
          <w:tab w:val="left" w:pos="1586"/>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sz w:val="21"/>
          <w:szCs w:val="21"/>
          <w:highlight w:val="none"/>
        </w:rPr>
        <w:t>谈判小组按照最后报价由低到高的顺序和</w:t>
      </w:r>
      <w:r>
        <w:rPr>
          <w:sz w:val="21"/>
          <w:szCs w:val="21"/>
          <w:highlight w:val="none"/>
          <w:u w:val="single"/>
        </w:rPr>
        <w:t>供应商须知前附表</w:t>
      </w:r>
      <w:r>
        <w:rPr>
          <w:sz w:val="21"/>
          <w:szCs w:val="21"/>
          <w:highlight w:val="none"/>
        </w:rPr>
        <w:t>中规定确定成交候选人，并标明排列顺序。排名第一的成交候选人经采购人或采购人授权的谈判小组确定为成交供应商后，由采购</w:t>
      </w:r>
      <w:r>
        <w:rPr>
          <w:rFonts w:hint="eastAsia"/>
          <w:sz w:val="21"/>
          <w:szCs w:val="21"/>
          <w:highlight w:val="none"/>
          <w:lang w:val="en-US" w:eastAsia="zh-CN"/>
        </w:rPr>
        <w:t>人</w:t>
      </w:r>
      <w:r>
        <w:rPr>
          <w:sz w:val="21"/>
          <w:szCs w:val="21"/>
          <w:highlight w:val="none"/>
        </w:rPr>
        <w:t>在指定媒体上予以公告。</w:t>
      </w:r>
    </w:p>
    <w:p w14:paraId="5277FFF1">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25.编写评审报告</w:t>
      </w:r>
    </w:p>
    <w:p w14:paraId="006EAA81">
      <w:pPr>
        <w:pStyle w:val="42"/>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sz w:val="21"/>
          <w:szCs w:val="21"/>
          <w:highlight w:val="none"/>
        </w:rPr>
        <w:t>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2245A12C">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26.保密要求</w:t>
      </w:r>
    </w:p>
    <w:p w14:paraId="468351FB">
      <w:pPr>
        <w:pStyle w:val="42"/>
        <w:keepNext w:val="0"/>
        <w:keepLines w:val="0"/>
        <w:pageBreakBefore w:val="0"/>
        <w:widowControl w:val="0"/>
        <w:numPr>
          <w:ilvl w:val="0"/>
          <w:numId w:val="0"/>
        </w:numPr>
        <w:tabs>
          <w:tab w:val="left" w:pos="1490"/>
        </w:tabs>
        <w:kinsoku/>
        <w:wordWrap/>
        <w:overflowPunct/>
        <w:topLinePunct w:val="0"/>
        <w:autoSpaceDE w:val="0"/>
        <w:autoSpaceDN w:val="0"/>
        <w:bidi w:val="0"/>
        <w:adjustRightInd/>
        <w:snapToGrid/>
        <w:spacing w:line="360" w:lineRule="auto"/>
        <w:ind w:left="0" w:right="0" w:rightChars="0" w:firstLine="420" w:firstLineChars="200"/>
        <w:textAlignment w:val="auto"/>
        <w:rPr>
          <w:sz w:val="21"/>
          <w:szCs w:val="21"/>
          <w:highlight w:val="none"/>
        </w:rPr>
      </w:pPr>
      <w:r>
        <w:rPr>
          <w:rFonts w:hint="eastAsia"/>
          <w:sz w:val="21"/>
          <w:szCs w:val="21"/>
          <w:highlight w:val="none"/>
          <w:lang w:val="en-US" w:eastAsia="zh-CN"/>
        </w:rPr>
        <w:t>26.1</w:t>
      </w:r>
      <w:r>
        <w:rPr>
          <w:sz w:val="21"/>
          <w:szCs w:val="21"/>
          <w:highlight w:val="none"/>
        </w:rPr>
        <w:t>评审将在严格保密的情况下进行。</w:t>
      </w:r>
    </w:p>
    <w:p w14:paraId="1253F538">
      <w:pPr>
        <w:pStyle w:val="42"/>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right="0" w:rightChars="0" w:firstLine="420" w:firstLineChars="200"/>
        <w:textAlignment w:val="auto"/>
        <w:rPr>
          <w:sz w:val="21"/>
          <w:szCs w:val="21"/>
          <w:highlight w:val="none"/>
        </w:rPr>
      </w:pPr>
      <w:r>
        <w:rPr>
          <w:rFonts w:hint="eastAsia"/>
          <w:sz w:val="21"/>
          <w:szCs w:val="21"/>
          <w:highlight w:val="none"/>
          <w:lang w:val="en-US" w:eastAsia="zh-CN"/>
        </w:rPr>
        <w:t>26.2</w:t>
      </w:r>
      <w:r>
        <w:rPr>
          <w:sz w:val="21"/>
          <w:szCs w:val="21"/>
          <w:highlight w:val="none"/>
        </w:rPr>
        <w:t>有关人员应当遵守评审工作纪律，不得泄露评审文件、评审情况和评审中获悉的国家秘密、商业秘密。</w:t>
      </w:r>
    </w:p>
    <w:p w14:paraId="73B0862D">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27.成交结果公告</w:t>
      </w:r>
    </w:p>
    <w:p w14:paraId="068D6EB2">
      <w:pPr>
        <w:pStyle w:val="42"/>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rFonts w:ascii="宋体" w:hAnsi="宋体" w:eastAsia="宋体" w:cs="宋体"/>
          <w:sz w:val="21"/>
          <w:szCs w:val="21"/>
          <w:highlight w:val="none"/>
          <w:lang w:val="en-US"/>
        </w:rPr>
      </w:pPr>
      <w:r>
        <w:rPr>
          <w:sz w:val="21"/>
          <w:szCs w:val="21"/>
          <w:highlight w:val="none"/>
        </w:rPr>
        <w:t>为体现</w:t>
      </w:r>
      <w:r>
        <w:rPr>
          <w:sz w:val="21"/>
          <w:szCs w:val="21"/>
          <w:highlight w:val="none"/>
          <w:lang w:val="en-US"/>
        </w:rPr>
        <w:t>“</w:t>
      </w:r>
      <w:r>
        <w:rPr>
          <w:sz w:val="21"/>
          <w:szCs w:val="21"/>
          <w:highlight w:val="none"/>
        </w:rPr>
        <w:t>公开、公平、公正</w:t>
      </w:r>
      <w:r>
        <w:rPr>
          <w:sz w:val="21"/>
          <w:szCs w:val="21"/>
          <w:highlight w:val="none"/>
          <w:lang w:val="en-US"/>
        </w:rPr>
        <w:t>”</w:t>
      </w:r>
      <w:r>
        <w:rPr>
          <w:sz w:val="21"/>
          <w:szCs w:val="21"/>
          <w:highlight w:val="none"/>
        </w:rPr>
        <w:t>的原则</w:t>
      </w:r>
      <w:r>
        <w:rPr>
          <w:sz w:val="21"/>
          <w:szCs w:val="21"/>
          <w:highlight w:val="none"/>
          <w:lang w:val="en-US"/>
        </w:rPr>
        <w:t>，</w:t>
      </w:r>
      <w:r>
        <w:rPr>
          <w:rFonts w:ascii="宋体" w:hAnsi="宋体" w:eastAsia="宋体" w:cs="宋体"/>
          <w:sz w:val="21"/>
          <w:szCs w:val="21"/>
          <w:highlight w:val="none"/>
        </w:rPr>
        <w:t>谈判结束后</w:t>
      </w:r>
      <w:r>
        <w:rPr>
          <w:rFonts w:ascii="宋体" w:hAnsi="宋体" w:eastAsia="宋体" w:cs="宋体"/>
          <w:sz w:val="21"/>
          <w:szCs w:val="21"/>
          <w:highlight w:val="none"/>
          <w:lang w:val="en-US"/>
        </w:rPr>
        <w:t>，</w:t>
      </w:r>
      <w:r>
        <w:rPr>
          <w:rFonts w:ascii="宋体" w:hAnsi="宋体" w:eastAsia="宋体" w:cs="宋体"/>
          <w:sz w:val="21"/>
          <w:szCs w:val="21"/>
          <w:highlight w:val="none"/>
        </w:rPr>
        <w:t>采购</w:t>
      </w:r>
      <w:r>
        <w:rPr>
          <w:rFonts w:hint="eastAsia" w:ascii="宋体" w:hAnsi="宋体" w:eastAsia="宋体" w:cs="宋体"/>
          <w:sz w:val="21"/>
          <w:szCs w:val="21"/>
          <w:highlight w:val="none"/>
          <w:lang w:val="en-US" w:eastAsia="zh-CN"/>
        </w:rPr>
        <w:t>人</w:t>
      </w:r>
      <w:r>
        <w:rPr>
          <w:rFonts w:ascii="宋体" w:hAnsi="宋体" w:eastAsia="宋体" w:cs="宋体"/>
          <w:sz w:val="21"/>
          <w:szCs w:val="21"/>
          <w:highlight w:val="none"/>
        </w:rPr>
        <w:t>将在</w:t>
      </w:r>
      <w:r>
        <w:rPr>
          <w:rFonts w:hint="eastAsia" w:ascii="宋体" w:hAnsi="宋体" w:eastAsia="宋体" w:cs="宋体"/>
          <w:sz w:val="21"/>
          <w:szCs w:val="21"/>
          <w:highlight w:val="none"/>
          <w:lang w:val="en-US" w:eastAsia="zh-CN"/>
        </w:rPr>
        <w:t>阜阳投资发展集团有限公司(http://www.fytfjt.com)网站</w:t>
      </w:r>
      <w:r>
        <w:rPr>
          <w:rFonts w:ascii="宋体" w:hAnsi="宋体" w:eastAsia="宋体" w:cs="宋体"/>
          <w:sz w:val="21"/>
          <w:szCs w:val="21"/>
          <w:highlight w:val="none"/>
        </w:rPr>
        <w:t>上发布成交结果公告。</w:t>
      </w:r>
    </w:p>
    <w:p w14:paraId="7FF353B8">
      <w:pPr>
        <w:keepNext w:val="0"/>
        <w:keepLines w:val="0"/>
        <w:pageBreakBefore w:val="0"/>
        <w:widowControl w:val="0"/>
        <w:kinsoku/>
        <w:wordWrap/>
        <w:overflowPunct/>
        <w:topLinePunct w:val="0"/>
        <w:autoSpaceDE w:val="0"/>
        <w:autoSpaceDN w:val="0"/>
        <w:bidi w:val="0"/>
        <w:adjustRightInd/>
        <w:snapToGrid/>
        <w:spacing w:line="360" w:lineRule="auto"/>
        <w:ind w:left="0" w:right="0" w:rightChars="0" w:firstLine="422" w:firstLineChars="200"/>
        <w:textAlignment w:val="auto"/>
        <w:rPr>
          <w:b/>
          <w:color w:val="000000"/>
          <w:sz w:val="21"/>
          <w:szCs w:val="21"/>
          <w:highlight w:val="none"/>
        </w:rPr>
      </w:pPr>
      <w:r>
        <w:rPr>
          <w:rFonts w:hint="eastAsia"/>
          <w:b/>
          <w:color w:val="000000"/>
          <w:sz w:val="21"/>
          <w:szCs w:val="21"/>
          <w:highlight w:val="none"/>
        </w:rPr>
        <w:t>注：</w:t>
      </w:r>
    </w:p>
    <w:p w14:paraId="00CE978B">
      <w:pPr>
        <w:keepNext w:val="0"/>
        <w:keepLines w:val="0"/>
        <w:pageBreakBefore w:val="0"/>
        <w:widowControl w:val="0"/>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1.</w:t>
      </w:r>
      <w:r>
        <w:rPr>
          <w:rFonts w:hint="eastAsia"/>
          <w:sz w:val="21"/>
          <w:szCs w:val="21"/>
          <w:highlight w:val="none"/>
        </w:rPr>
        <w:t>采购人定标前对成交候选人进行信用查询，如成交候选人存在不良信用记录，采购人应取消成交候选人资格，并按规定予以处理。</w:t>
      </w:r>
    </w:p>
    <w:p w14:paraId="7E6A4AA8">
      <w:pPr>
        <w:keepNext w:val="0"/>
        <w:keepLines w:val="0"/>
        <w:pageBreakBefore w:val="0"/>
        <w:widowControl w:val="0"/>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2.</w:t>
      </w:r>
      <w:r>
        <w:rPr>
          <w:rFonts w:hint="eastAsia"/>
          <w:sz w:val="21"/>
          <w:szCs w:val="21"/>
          <w:highlight w:val="none"/>
        </w:rPr>
        <w:t>不良信用记录是指</w:t>
      </w:r>
      <w:r>
        <w:rPr>
          <w:rFonts w:hint="eastAsia"/>
          <w:sz w:val="21"/>
          <w:szCs w:val="21"/>
          <w:highlight w:val="none"/>
          <w:lang w:val="en-US" w:eastAsia="zh-CN"/>
        </w:rPr>
        <w:t>参加政府采购活动前三年内</w:t>
      </w:r>
      <w:r>
        <w:rPr>
          <w:rFonts w:hint="eastAsia"/>
          <w:sz w:val="21"/>
          <w:szCs w:val="21"/>
          <w:highlight w:val="none"/>
        </w:rPr>
        <w:t>：（1）供应商被人民法院列入失信被执行人；（</w:t>
      </w:r>
      <w:r>
        <w:rPr>
          <w:rFonts w:hint="eastAsia"/>
          <w:sz w:val="21"/>
          <w:szCs w:val="21"/>
          <w:highlight w:val="none"/>
          <w:lang w:val="en-US" w:eastAsia="zh-CN"/>
        </w:rPr>
        <w:t>2</w:t>
      </w:r>
      <w:r>
        <w:rPr>
          <w:rFonts w:hint="eastAsia"/>
          <w:sz w:val="21"/>
          <w:szCs w:val="21"/>
          <w:highlight w:val="none"/>
        </w:rPr>
        <w:t>）供应商被税务部门列入重大税收违法案件当事人名单；（</w:t>
      </w:r>
      <w:r>
        <w:rPr>
          <w:rFonts w:hint="eastAsia"/>
          <w:sz w:val="21"/>
          <w:szCs w:val="21"/>
          <w:highlight w:val="none"/>
          <w:lang w:val="en-US" w:eastAsia="zh-CN"/>
        </w:rPr>
        <w:t>3</w:t>
      </w:r>
      <w:r>
        <w:rPr>
          <w:rFonts w:hint="eastAsia"/>
          <w:sz w:val="21"/>
          <w:szCs w:val="21"/>
          <w:highlight w:val="none"/>
        </w:rPr>
        <w:t>）供应商被政府采购监管部门列入政府采购严重违法失信行为记录名单，以及存在《中华人民共和国政府采购法实施条例》第十九条规定的行政处罚记录。</w:t>
      </w:r>
    </w:p>
    <w:p w14:paraId="3DA963EB">
      <w:pPr>
        <w:keepNext w:val="0"/>
        <w:keepLines w:val="0"/>
        <w:pageBreakBefore w:val="0"/>
        <w:widowControl w:val="0"/>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3.</w:t>
      </w:r>
      <w:r>
        <w:rPr>
          <w:rFonts w:hint="eastAsia"/>
          <w:sz w:val="21"/>
          <w:szCs w:val="21"/>
          <w:highlight w:val="none"/>
        </w:rPr>
        <w:t>以联合体形式参加谈判的，联合体任何成员存在以上不良信用记录的，不得确定为成交供应商。</w:t>
      </w:r>
    </w:p>
    <w:p w14:paraId="5963D418">
      <w:pPr>
        <w:keepNext w:val="0"/>
        <w:keepLines w:val="0"/>
        <w:pageBreakBefore w:val="0"/>
        <w:widowControl w:val="0"/>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4.</w:t>
      </w:r>
      <w:r>
        <w:rPr>
          <w:rFonts w:hint="eastAsia"/>
          <w:sz w:val="21"/>
          <w:szCs w:val="21"/>
          <w:highlight w:val="none"/>
        </w:rPr>
        <w:t xml:space="preserve">信用信息查询渠道：中国政府采购网（www.ccgp.gov.cn）、“信用中国”网站（www.creditchina.gov.cn）。 </w:t>
      </w:r>
    </w:p>
    <w:p w14:paraId="0940DBFB">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28.履约保证金</w:t>
      </w:r>
    </w:p>
    <w:p w14:paraId="688284FD">
      <w:pPr>
        <w:pStyle w:val="42"/>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免收</w:t>
      </w:r>
      <w:r>
        <w:rPr>
          <w:sz w:val="21"/>
          <w:szCs w:val="21"/>
          <w:highlight w:val="none"/>
        </w:rPr>
        <w:t>。</w:t>
      </w:r>
    </w:p>
    <w:p w14:paraId="5E59F9B8">
      <w:pPr>
        <w:pageBreakBefore w:val="0"/>
        <w:widowControl w:val="0"/>
        <w:kinsoku/>
        <w:wordWrap/>
        <w:overflowPunct/>
        <w:topLinePunct w:val="0"/>
        <w:autoSpaceDE w:val="0"/>
        <w:autoSpaceDN w:val="0"/>
        <w:bidi w:val="0"/>
        <w:spacing w:line="360" w:lineRule="auto"/>
        <w:ind w:left="0" w:right="0" w:rightChars="0" w:firstLine="422" w:firstLineChars="200"/>
        <w:jc w:val="left"/>
        <w:textAlignment w:val="auto"/>
        <w:rPr>
          <w:rFonts w:hint="eastAsia" w:ascii="宋体" w:hAnsi="宋体" w:eastAsia="宋体" w:cs="宋体"/>
          <w:b/>
          <w:kern w:val="0"/>
          <w:szCs w:val="21"/>
          <w:highlight w:val="none"/>
          <w:lang w:val="en-US" w:eastAsia="zh-CN" w:bidi="zh-CN"/>
        </w:rPr>
      </w:pPr>
      <w:r>
        <w:rPr>
          <w:rFonts w:hint="eastAsia" w:ascii="宋体" w:hAnsi="宋体" w:eastAsia="宋体" w:cs="宋体"/>
          <w:b/>
          <w:kern w:val="0"/>
          <w:szCs w:val="21"/>
          <w:highlight w:val="none"/>
          <w:lang w:val="en-US" w:eastAsia="zh-CN" w:bidi="zh-CN"/>
        </w:rPr>
        <w:t>29.签订合同</w:t>
      </w:r>
    </w:p>
    <w:p w14:paraId="347BD4A7">
      <w:pPr>
        <w:pStyle w:val="42"/>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rFonts w:ascii="宋体" w:hAnsi="宋体" w:eastAsia="宋体" w:cs="宋体"/>
          <w:sz w:val="21"/>
          <w:szCs w:val="21"/>
          <w:highlight w:val="none"/>
        </w:rPr>
      </w:pPr>
      <w:r>
        <w:rPr>
          <w:rFonts w:hint="eastAsia" w:cs="宋体"/>
          <w:sz w:val="21"/>
          <w:szCs w:val="21"/>
          <w:highlight w:val="none"/>
          <w:lang w:val="en-US" w:eastAsia="zh-CN"/>
        </w:rPr>
        <w:t>29.1</w:t>
      </w:r>
      <w:r>
        <w:rPr>
          <w:rFonts w:hint="eastAsia" w:ascii="宋体" w:hAnsi="宋体" w:eastAsia="宋体" w:cs="宋体"/>
          <w:sz w:val="21"/>
          <w:szCs w:val="21"/>
          <w:highlight w:val="none"/>
        </w:rPr>
        <w:t>采购人与成交供应商应当按照</w:t>
      </w:r>
      <w:r>
        <w:rPr>
          <w:rFonts w:hint="eastAsia" w:ascii="宋体" w:hAnsi="宋体" w:eastAsia="宋体" w:cs="宋体"/>
          <w:sz w:val="21"/>
          <w:szCs w:val="21"/>
          <w:highlight w:val="none"/>
          <w:u w:val="single"/>
        </w:rPr>
        <w:t>供应商须知前附表</w:t>
      </w:r>
      <w:r>
        <w:rPr>
          <w:rFonts w:hint="eastAsia" w:ascii="宋体" w:hAnsi="宋体" w:eastAsia="宋体" w:cs="宋体"/>
          <w:sz w:val="21"/>
          <w:szCs w:val="21"/>
          <w:highlight w:val="none"/>
        </w:rPr>
        <w:t>规定的时间内完成采购合同签订及合同公告</w:t>
      </w:r>
      <w:r>
        <w:rPr>
          <w:rFonts w:ascii="宋体" w:hAnsi="宋体" w:eastAsia="宋体" w:cs="宋体"/>
          <w:sz w:val="21"/>
          <w:szCs w:val="21"/>
          <w:highlight w:val="none"/>
        </w:rPr>
        <w:t>。</w:t>
      </w:r>
    </w:p>
    <w:p w14:paraId="3A8410D3">
      <w:pPr>
        <w:pStyle w:val="42"/>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29.2</w:t>
      </w:r>
      <w:r>
        <w:rPr>
          <w:sz w:val="21"/>
          <w:szCs w:val="21"/>
          <w:highlight w:val="none"/>
        </w:rPr>
        <w:t>谈判文件、成交供应商的响应文件及其澄清文件等，均为签订合同的依据。</w:t>
      </w:r>
    </w:p>
    <w:p w14:paraId="605B5F49">
      <w:pPr>
        <w:pStyle w:val="42"/>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rFonts w:hint="eastAsia"/>
          <w:highlight w:val="none"/>
        </w:rPr>
      </w:pPr>
      <w:r>
        <w:rPr>
          <w:rFonts w:hint="eastAsia"/>
          <w:sz w:val="21"/>
          <w:szCs w:val="21"/>
          <w:highlight w:val="none"/>
          <w:lang w:val="en-US" w:eastAsia="zh-CN"/>
        </w:rPr>
        <w:t>29.3</w:t>
      </w:r>
      <w:r>
        <w:rPr>
          <w:sz w:val="21"/>
          <w:szCs w:val="21"/>
          <w:highlight w:val="none"/>
        </w:rPr>
        <w:t>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26E9437">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firstLine="422" w:firstLineChars="200"/>
        <w:jc w:val="both"/>
        <w:textAlignment w:val="auto"/>
        <w:rPr>
          <w:rFonts w:hint="eastAsia" w:ascii="宋体" w:hAnsi="宋体" w:eastAsia="宋体" w:cs="宋体"/>
          <w:highlight w:val="none"/>
          <w:lang w:val="en-US" w:eastAsia="zh-CN"/>
        </w:rPr>
      </w:pPr>
      <w:r>
        <w:rPr>
          <w:rFonts w:hint="eastAsia" w:ascii="宋体" w:hAnsi="宋体" w:eastAsia="宋体" w:cs="宋体"/>
          <w:b/>
          <w:bCs w:val="0"/>
          <w:kern w:val="0"/>
          <w:sz w:val="21"/>
          <w:szCs w:val="21"/>
          <w:highlight w:val="none"/>
          <w:lang w:val="en-US" w:eastAsia="zh-CN" w:bidi="zh-CN"/>
        </w:rPr>
        <w:t>30.廉洁自律规定</w:t>
      </w:r>
    </w:p>
    <w:p w14:paraId="33EEDF0E">
      <w:pPr>
        <w:pStyle w:val="42"/>
        <w:keepNext w:val="0"/>
        <w:keepLines w:val="0"/>
        <w:pageBreakBefore w:val="0"/>
        <w:widowControl w:val="0"/>
        <w:numPr>
          <w:ilvl w:val="0"/>
          <w:numId w:val="0"/>
        </w:numPr>
        <w:tabs>
          <w:tab w:val="left" w:pos="1552"/>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30.1</w:t>
      </w:r>
      <w:r>
        <w:rPr>
          <w:sz w:val="21"/>
          <w:szCs w:val="21"/>
          <w:highlight w:val="none"/>
        </w:rPr>
        <w:t>采购代理机构工作人员不得以不正当手段获取政府采购代理业务，不得与采购人、供应商恶意串通。</w:t>
      </w:r>
    </w:p>
    <w:p w14:paraId="24EF2581">
      <w:pPr>
        <w:pStyle w:val="42"/>
        <w:keepNext w:val="0"/>
        <w:keepLines w:val="0"/>
        <w:pageBreakBefore w:val="0"/>
        <w:widowControl w:val="0"/>
        <w:numPr>
          <w:ilvl w:val="0"/>
          <w:numId w:val="0"/>
        </w:numPr>
        <w:tabs>
          <w:tab w:val="left" w:pos="1473"/>
        </w:tabs>
        <w:kinsoku/>
        <w:wordWrap/>
        <w:overflowPunct/>
        <w:topLinePunct w:val="0"/>
        <w:autoSpaceDE w:val="0"/>
        <w:autoSpaceDN w:val="0"/>
        <w:bidi w:val="0"/>
        <w:adjustRightInd/>
        <w:snapToGrid/>
        <w:spacing w:line="360" w:lineRule="auto"/>
        <w:ind w:left="0" w:right="0" w:rightChars="0" w:firstLine="420" w:firstLineChars="200"/>
        <w:jc w:val="both"/>
        <w:textAlignment w:val="auto"/>
        <w:rPr>
          <w:sz w:val="21"/>
          <w:szCs w:val="21"/>
          <w:highlight w:val="none"/>
        </w:rPr>
      </w:pPr>
      <w:r>
        <w:rPr>
          <w:rFonts w:hint="eastAsia"/>
          <w:sz w:val="21"/>
          <w:szCs w:val="21"/>
          <w:highlight w:val="none"/>
          <w:lang w:val="en-US" w:eastAsia="zh-CN"/>
        </w:rPr>
        <w:t>30.2</w:t>
      </w:r>
      <w:r>
        <w:rPr>
          <w:sz w:val="21"/>
          <w:szCs w:val="21"/>
          <w:highlight w:val="none"/>
        </w:rPr>
        <w:t>采购代理机构工作人员不得接受采购人或者供应商组织的宴请、旅游、娱乐，不得收受礼品、现金、有价证券等，不得向采购人或者供应商报销应当由个人承担的费用。</w:t>
      </w:r>
    </w:p>
    <w:p w14:paraId="36DB617A">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firstLine="422" w:firstLineChars="200"/>
        <w:jc w:val="both"/>
        <w:textAlignment w:val="auto"/>
        <w:rPr>
          <w:rFonts w:hint="eastAsia" w:ascii="宋体" w:hAnsi="宋体" w:eastAsia="宋体" w:cs="宋体"/>
          <w:b/>
          <w:bCs w:val="0"/>
          <w:kern w:val="0"/>
          <w:sz w:val="21"/>
          <w:szCs w:val="21"/>
          <w:highlight w:val="none"/>
          <w:lang w:val="en-US" w:eastAsia="zh-CN" w:bidi="zh-CN"/>
        </w:rPr>
      </w:pPr>
      <w:r>
        <w:rPr>
          <w:rFonts w:hint="eastAsia" w:ascii="宋体" w:hAnsi="宋体" w:eastAsia="宋体" w:cs="宋体"/>
          <w:b/>
          <w:bCs w:val="0"/>
          <w:kern w:val="0"/>
          <w:sz w:val="21"/>
          <w:szCs w:val="21"/>
          <w:highlight w:val="none"/>
          <w:lang w:val="en-US" w:eastAsia="zh-CN" w:bidi="zh-CN"/>
        </w:rPr>
        <w:t>31.质疑的提出与接收</w:t>
      </w:r>
    </w:p>
    <w:p w14:paraId="21FF4639">
      <w:pPr>
        <w:pStyle w:val="42"/>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0" w:leftChars="0" w:right="0" w:rightChars="0" w:firstLine="420" w:firstLineChars="200"/>
        <w:textAlignment w:val="auto"/>
        <w:rPr>
          <w:rFonts w:hint="eastAsia"/>
          <w:sz w:val="21"/>
          <w:szCs w:val="21"/>
          <w:highlight w:val="none"/>
        </w:rPr>
      </w:pPr>
      <w:r>
        <w:rPr>
          <w:rFonts w:hint="eastAsia" w:cs="宋体"/>
          <w:sz w:val="21"/>
          <w:szCs w:val="21"/>
          <w:highlight w:val="none"/>
          <w:lang w:val="en-US" w:eastAsia="zh-CN"/>
        </w:rPr>
        <w:t>31.1</w:t>
      </w:r>
      <w:r>
        <w:rPr>
          <w:rFonts w:hint="eastAsia" w:ascii="宋体" w:hAnsi="宋体" w:eastAsia="宋体" w:cs="宋体"/>
          <w:sz w:val="21"/>
          <w:szCs w:val="21"/>
          <w:highlight w:val="none"/>
        </w:rPr>
        <w:t>供应商认为磋商文件、采购过程和成交结果使自己的权益受到损害的，可以在知道或者应知其权益受到损害之日起七个工作日内，以书面形式向采购人或其委托的采购代理机构提出质疑。</w:t>
      </w:r>
    </w:p>
    <w:p w14:paraId="737BE18A">
      <w:pPr>
        <w:pStyle w:val="42"/>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0" w:right="0" w:rightChars="0" w:firstLine="420" w:firstLineChars="200"/>
        <w:textAlignment w:val="auto"/>
        <w:rPr>
          <w:sz w:val="21"/>
          <w:szCs w:val="21"/>
          <w:highlight w:val="none"/>
        </w:rPr>
      </w:pPr>
      <w:r>
        <w:rPr>
          <w:rFonts w:hint="eastAsia"/>
          <w:sz w:val="21"/>
          <w:szCs w:val="21"/>
          <w:highlight w:val="none"/>
        </w:rPr>
        <w:t>上述知道或者应知其权益受到损害之日，是指：（1）对采购文件提出质疑的，为采购文件公告期限届满之日；（2）对采购过程提出质疑的，为各采购程序环节结束之日；（3）对成交结果提出质疑的，为成交结果公告期限届满之日。</w:t>
      </w:r>
    </w:p>
    <w:p w14:paraId="76E0CD83">
      <w:pPr>
        <w:pStyle w:val="42"/>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0" w:right="0" w:rightChars="0" w:firstLine="420" w:firstLineChars="200"/>
        <w:textAlignment w:val="auto"/>
        <w:rPr>
          <w:sz w:val="21"/>
          <w:szCs w:val="21"/>
          <w:highlight w:val="none"/>
          <w:lang w:val="en-US"/>
        </w:rPr>
      </w:pPr>
      <w:r>
        <w:rPr>
          <w:rFonts w:hint="eastAsia"/>
          <w:sz w:val="21"/>
          <w:szCs w:val="21"/>
          <w:highlight w:val="none"/>
          <w:lang w:val="en-US" w:eastAsia="zh-CN"/>
        </w:rPr>
        <w:t>31.2</w:t>
      </w:r>
      <w:r>
        <w:rPr>
          <w:sz w:val="21"/>
          <w:szCs w:val="21"/>
          <w:highlight w:val="none"/>
          <w:lang w:val="en-US"/>
        </w:rPr>
        <w:t>质疑供应商应按照制定的《采购质疑函范本》格式（详见谈判文件第</w:t>
      </w:r>
      <w:r>
        <w:rPr>
          <w:rFonts w:hint="eastAsia"/>
          <w:sz w:val="21"/>
          <w:szCs w:val="21"/>
          <w:highlight w:val="none"/>
          <w:lang w:val="en-US" w:eastAsia="zh-CN"/>
        </w:rPr>
        <w:t>七</w:t>
      </w:r>
      <w:r>
        <w:rPr>
          <w:sz w:val="21"/>
          <w:szCs w:val="21"/>
          <w:highlight w:val="none"/>
          <w:lang w:val="en-US"/>
        </w:rPr>
        <w:t>章）的要求，在法定质疑期内</w:t>
      </w:r>
      <w:r>
        <w:rPr>
          <w:rFonts w:hint="eastAsia"/>
          <w:sz w:val="21"/>
          <w:szCs w:val="21"/>
          <w:highlight w:val="none"/>
          <w:lang w:val="en-US" w:eastAsia="zh-CN"/>
        </w:rPr>
        <w:t>以</w:t>
      </w:r>
      <w:r>
        <w:rPr>
          <w:rFonts w:hint="eastAsia"/>
          <w:sz w:val="21"/>
          <w:szCs w:val="21"/>
          <w:highlight w:val="none"/>
          <w:lang w:val="en-US"/>
        </w:rPr>
        <w:t>书面</w:t>
      </w:r>
      <w:r>
        <w:rPr>
          <w:rFonts w:hint="eastAsia"/>
          <w:sz w:val="21"/>
          <w:szCs w:val="21"/>
          <w:highlight w:val="none"/>
          <w:lang w:val="en-US" w:eastAsia="zh-CN"/>
        </w:rPr>
        <w:t>形式</w:t>
      </w:r>
      <w:r>
        <w:rPr>
          <w:rFonts w:hint="eastAsia"/>
          <w:sz w:val="21"/>
          <w:szCs w:val="21"/>
          <w:highlight w:val="none"/>
          <w:lang w:val="en-US"/>
        </w:rPr>
        <w:t>提出</w:t>
      </w:r>
      <w:r>
        <w:rPr>
          <w:rFonts w:hint="eastAsia"/>
          <w:sz w:val="21"/>
          <w:szCs w:val="21"/>
          <w:highlight w:val="none"/>
          <w:lang w:val="en-US" w:eastAsia="zh-CN"/>
        </w:rPr>
        <w:t>质疑</w:t>
      </w:r>
      <w:r>
        <w:rPr>
          <w:sz w:val="21"/>
          <w:szCs w:val="21"/>
          <w:highlight w:val="none"/>
          <w:lang w:val="en-US"/>
        </w:rPr>
        <w:t>，超出法定质疑期提交的质疑将被拒绝。针对同一采购程序环节的质疑应一次性提出。</w:t>
      </w:r>
    </w:p>
    <w:p w14:paraId="69884557">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rightChars="0" w:firstLine="420" w:firstLineChars="200"/>
        <w:textAlignment w:val="auto"/>
        <w:rPr>
          <w:sz w:val="21"/>
          <w:szCs w:val="21"/>
          <w:highlight w:val="none"/>
        </w:rPr>
      </w:pPr>
      <w:r>
        <w:rPr>
          <w:rFonts w:hint="eastAsia"/>
          <w:sz w:val="21"/>
          <w:szCs w:val="21"/>
          <w:highlight w:val="none"/>
          <w:lang w:val="en-US" w:eastAsia="zh-CN"/>
        </w:rPr>
        <w:t>31.3</w:t>
      </w:r>
      <w:r>
        <w:rPr>
          <w:rFonts w:hint="eastAsia" w:ascii="宋体" w:hAnsi="宋体" w:eastAsia="宋体" w:cs="宋体"/>
          <w:sz w:val="21"/>
          <w:szCs w:val="21"/>
          <w:highlight w:val="none"/>
          <w:lang w:val="en-US" w:eastAsia="zh-CN" w:bidi="zh-CN"/>
        </w:rPr>
        <w:t>超出法定质疑期的、重复提出的、分次提出的或内容、形式不符合要求的，质疑供应商将依法承担不利后果。</w:t>
      </w:r>
    </w:p>
    <w:p w14:paraId="34688351">
      <w:pPr>
        <w:pStyle w:val="42"/>
        <w:keepNext w:val="0"/>
        <w:keepLines w:val="0"/>
        <w:pageBreakBefore w:val="0"/>
        <w:widowControl w:val="0"/>
        <w:tabs>
          <w:tab w:val="left" w:pos="1490"/>
        </w:tabs>
        <w:kinsoku/>
        <w:wordWrap/>
        <w:overflowPunct/>
        <w:topLinePunct w:val="0"/>
        <w:autoSpaceDE w:val="0"/>
        <w:autoSpaceDN w:val="0"/>
        <w:bidi w:val="0"/>
        <w:adjustRightInd/>
        <w:snapToGrid/>
        <w:spacing w:line="360" w:lineRule="auto"/>
        <w:ind w:left="0" w:right="0" w:rightChars="0" w:firstLine="420" w:firstLineChars="200"/>
        <w:textAlignment w:val="auto"/>
        <w:rPr>
          <w:sz w:val="21"/>
          <w:szCs w:val="21"/>
          <w:highlight w:val="none"/>
          <w:lang w:val="en-US"/>
        </w:rPr>
      </w:pPr>
      <w:r>
        <w:rPr>
          <w:rFonts w:hint="eastAsia"/>
          <w:sz w:val="21"/>
          <w:szCs w:val="21"/>
          <w:highlight w:val="none"/>
          <w:lang w:val="en-US" w:eastAsia="zh-CN"/>
        </w:rPr>
        <w:t>31.4</w:t>
      </w:r>
      <w:r>
        <w:rPr>
          <w:sz w:val="21"/>
          <w:szCs w:val="21"/>
          <w:highlight w:val="none"/>
          <w:lang w:val="en-US"/>
        </w:rPr>
        <w:t>采购代理机构质疑函接收部门、联系电话和通讯地址，见</w:t>
      </w:r>
      <w:r>
        <w:rPr>
          <w:sz w:val="21"/>
          <w:szCs w:val="21"/>
          <w:highlight w:val="none"/>
          <w:u w:val="single"/>
          <w:lang w:val="en-US"/>
        </w:rPr>
        <w:t>供应商须知前附表</w:t>
      </w:r>
      <w:r>
        <w:rPr>
          <w:sz w:val="21"/>
          <w:szCs w:val="21"/>
          <w:highlight w:val="none"/>
          <w:lang w:val="en-US"/>
        </w:rPr>
        <w:t>。</w:t>
      </w:r>
    </w:p>
    <w:p w14:paraId="069C894C">
      <w:pPr>
        <w:keepNext w:val="0"/>
        <w:keepLines w:val="0"/>
        <w:pageBreakBefore w:val="0"/>
        <w:widowControl w:val="0"/>
        <w:kinsoku/>
        <w:wordWrap/>
        <w:overflowPunct/>
        <w:topLinePunct w:val="0"/>
        <w:autoSpaceDE w:val="0"/>
        <w:autoSpaceDN w:val="0"/>
        <w:bidi w:val="0"/>
        <w:adjustRightInd/>
        <w:snapToGrid/>
        <w:spacing w:line="360" w:lineRule="auto"/>
        <w:ind w:left="0" w:right="0" w:rightChars="0" w:firstLine="420" w:firstLineChars="200"/>
        <w:textAlignment w:val="auto"/>
        <w:rPr>
          <w:rFonts w:ascii="宋体" w:hAnsi="宋体" w:eastAsia="宋体" w:cs="宋体"/>
          <w:sz w:val="21"/>
          <w:szCs w:val="21"/>
          <w:highlight w:val="none"/>
          <w:lang w:val="en-US" w:eastAsia="zh-CN" w:bidi="zh-CN"/>
        </w:rPr>
      </w:pPr>
      <w:r>
        <w:rPr>
          <w:rFonts w:hint="eastAsia" w:ascii="宋体" w:hAnsi="宋体" w:eastAsia="宋体" w:cs="宋体"/>
          <w:sz w:val="21"/>
          <w:szCs w:val="21"/>
          <w:highlight w:val="none"/>
          <w:lang w:val="en-US" w:eastAsia="zh-CN" w:bidi="zh-CN"/>
        </w:rPr>
        <w:t>注：上述条款中所要求的书面形式包含通过电子邮箱递交方式。</w:t>
      </w:r>
    </w:p>
    <w:p w14:paraId="3DDB3473">
      <w:pPr>
        <w:pStyle w:val="4"/>
        <w:keepNext w:val="0"/>
        <w:keepLines w:val="0"/>
        <w:pageBreakBefore w:val="0"/>
        <w:widowControl w:val="0"/>
        <w:kinsoku/>
        <w:wordWrap/>
        <w:overflowPunct/>
        <w:topLinePunct w:val="0"/>
        <w:autoSpaceDE w:val="0"/>
        <w:autoSpaceDN w:val="0"/>
        <w:bidi w:val="0"/>
        <w:adjustRightInd/>
        <w:snapToGrid/>
        <w:spacing w:before="0" w:after="0" w:line="360" w:lineRule="auto"/>
        <w:ind w:left="0" w:leftChars="0" w:right="0" w:rightChars="0" w:firstLine="422" w:firstLineChars="200"/>
        <w:jc w:val="both"/>
        <w:textAlignment w:val="auto"/>
        <w:rPr>
          <w:rFonts w:hint="eastAsia" w:ascii="宋体" w:hAnsi="宋体" w:eastAsia="宋体" w:cs="宋体"/>
          <w:b/>
          <w:bCs w:val="0"/>
          <w:kern w:val="0"/>
          <w:sz w:val="21"/>
          <w:szCs w:val="21"/>
          <w:highlight w:val="none"/>
          <w:lang w:val="en-US" w:eastAsia="zh-CN" w:bidi="zh-CN"/>
        </w:rPr>
      </w:pPr>
      <w:r>
        <w:rPr>
          <w:rFonts w:hint="eastAsia" w:ascii="宋体" w:hAnsi="宋体" w:eastAsia="宋体" w:cs="宋体"/>
          <w:b/>
          <w:bCs w:val="0"/>
          <w:kern w:val="0"/>
          <w:sz w:val="21"/>
          <w:szCs w:val="21"/>
          <w:highlight w:val="none"/>
          <w:lang w:val="en-US" w:eastAsia="zh-CN" w:bidi="zh-CN"/>
        </w:rPr>
        <w:t>32.需要补充的其他内容</w:t>
      </w:r>
    </w:p>
    <w:p w14:paraId="3E50A6FD">
      <w:pPr>
        <w:pStyle w:val="8"/>
        <w:keepNext w:val="0"/>
        <w:keepLines w:val="0"/>
        <w:pageBreakBefore w:val="0"/>
        <w:widowControl w:val="0"/>
        <w:kinsoku/>
        <w:wordWrap/>
        <w:overflowPunct/>
        <w:topLinePunct w:val="0"/>
        <w:autoSpaceDE w:val="0"/>
        <w:autoSpaceDN w:val="0"/>
        <w:bidi w:val="0"/>
        <w:adjustRightInd/>
        <w:snapToGrid/>
        <w:spacing w:line="360" w:lineRule="auto"/>
        <w:ind w:left="0" w:right="0" w:rightChars="0" w:firstLine="420" w:firstLineChars="200"/>
        <w:textAlignment w:val="auto"/>
        <w:rPr>
          <w:sz w:val="21"/>
          <w:szCs w:val="21"/>
          <w:highlight w:val="none"/>
        </w:rPr>
      </w:pPr>
      <w:r>
        <w:rPr>
          <w:sz w:val="21"/>
          <w:szCs w:val="21"/>
          <w:highlight w:val="none"/>
        </w:rPr>
        <w:t>需要补充的其他内容，见</w:t>
      </w:r>
      <w:r>
        <w:rPr>
          <w:sz w:val="21"/>
          <w:szCs w:val="21"/>
          <w:highlight w:val="none"/>
          <w:u w:val="single"/>
        </w:rPr>
        <w:t>供应商须知前附表</w:t>
      </w:r>
      <w:r>
        <w:rPr>
          <w:sz w:val="21"/>
          <w:szCs w:val="21"/>
          <w:highlight w:val="none"/>
        </w:rPr>
        <w:t>。</w:t>
      </w:r>
    </w:p>
    <w:p w14:paraId="1BFA9890">
      <w:pPr>
        <w:widowControl/>
        <w:spacing w:line="360" w:lineRule="auto"/>
        <w:jc w:val="left"/>
        <w:rPr>
          <w:rFonts w:ascii="宋体" w:hAnsi="宋体" w:eastAsia="宋体" w:cs="Times New Roman"/>
          <w:szCs w:val="21"/>
          <w:highlight w:val="none"/>
        </w:rPr>
      </w:pPr>
      <w:r>
        <w:rPr>
          <w:rFonts w:ascii="宋体" w:hAnsi="宋体" w:eastAsia="宋体" w:cs="Times New Roman"/>
          <w:szCs w:val="21"/>
          <w:highlight w:val="none"/>
        </w:rPr>
        <w:br w:type="page"/>
      </w:r>
    </w:p>
    <w:p w14:paraId="24A7D788">
      <w:pPr>
        <w:keepNext/>
        <w:keepLines/>
        <w:tabs>
          <w:tab w:val="left" w:pos="0"/>
        </w:tabs>
        <w:autoSpaceDE w:val="0"/>
        <w:autoSpaceDN w:val="0"/>
        <w:adjustRightInd w:val="0"/>
        <w:spacing w:line="360" w:lineRule="auto"/>
        <w:jc w:val="center"/>
        <w:outlineLvl w:val="0"/>
        <w:rPr>
          <w:rFonts w:hint="default" w:ascii="华文中宋" w:hAnsi="华文中宋" w:eastAsia="华文中宋" w:cs="华文中宋"/>
          <w:b/>
          <w:bCs/>
          <w:kern w:val="44"/>
          <w:sz w:val="44"/>
          <w:szCs w:val="44"/>
          <w:highlight w:val="none"/>
          <w:lang w:val="en-US" w:eastAsia="zh-CN"/>
        </w:rPr>
      </w:pPr>
      <w:bookmarkStart w:id="29" w:name="_Toc10976"/>
      <w:bookmarkStart w:id="30" w:name="_Toc38640623"/>
      <w:r>
        <w:rPr>
          <w:rFonts w:hint="eastAsia" w:ascii="华文中宋" w:hAnsi="华文中宋" w:eastAsia="华文中宋" w:cs="华文中宋"/>
          <w:b/>
          <w:bCs/>
          <w:kern w:val="44"/>
          <w:sz w:val="44"/>
          <w:szCs w:val="44"/>
          <w:highlight w:val="none"/>
        </w:rPr>
        <w:t>第</w:t>
      </w:r>
      <w:r>
        <w:rPr>
          <w:rFonts w:hint="eastAsia" w:ascii="华文中宋" w:hAnsi="华文中宋" w:eastAsia="华文中宋" w:cs="华文中宋"/>
          <w:b/>
          <w:bCs/>
          <w:kern w:val="44"/>
          <w:sz w:val="44"/>
          <w:szCs w:val="44"/>
          <w:highlight w:val="none"/>
          <w:lang w:val="en-US" w:eastAsia="zh-CN"/>
        </w:rPr>
        <w:t>三</w:t>
      </w:r>
      <w:r>
        <w:rPr>
          <w:rFonts w:hint="eastAsia" w:ascii="华文中宋" w:hAnsi="华文中宋" w:eastAsia="华文中宋" w:cs="华文中宋"/>
          <w:b/>
          <w:bCs/>
          <w:kern w:val="44"/>
          <w:sz w:val="44"/>
          <w:szCs w:val="44"/>
          <w:highlight w:val="none"/>
        </w:rPr>
        <w:t>章</w:t>
      </w:r>
      <w:r>
        <w:rPr>
          <w:rFonts w:hint="eastAsia" w:ascii="华文中宋" w:hAnsi="华文中宋" w:eastAsia="华文中宋" w:cs="华文中宋"/>
          <w:b/>
          <w:bCs/>
          <w:kern w:val="44"/>
          <w:sz w:val="44"/>
          <w:szCs w:val="44"/>
          <w:highlight w:val="none"/>
          <w:lang w:val="en-US" w:eastAsia="zh-CN"/>
        </w:rPr>
        <w:t xml:space="preserve"> 采购需求</w:t>
      </w:r>
      <w:bookmarkEnd w:id="29"/>
    </w:p>
    <w:p w14:paraId="2F793643">
      <w:pPr>
        <w:tabs>
          <w:tab w:val="left" w:pos="942"/>
        </w:tabs>
        <w:autoSpaceDE w:val="0"/>
        <w:autoSpaceDN w:val="0"/>
        <w:spacing w:before="3" w:line="360" w:lineRule="auto"/>
        <w:ind w:right="361"/>
        <w:jc w:val="left"/>
        <w:rPr>
          <w:rFonts w:ascii="宋体" w:hAnsi="宋体" w:eastAsia="宋体" w:cs="Times New Roman"/>
          <w:b/>
          <w:bCs/>
          <w:szCs w:val="21"/>
          <w:highlight w:val="none"/>
        </w:rPr>
      </w:pPr>
      <w:r>
        <w:rPr>
          <w:rFonts w:ascii="宋体" w:hAnsi="宋体" w:eastAsia="宋体" w:cs="Times New Roman"/>
          <w:b/>
          <w:bCs/>
          <w:szCs w:val="21"/>
          <w:highlight w:val="none"/>
        </w:rPr>
        <w:t>一、采购需求前附表</w:t>
      </w:r>
    </w:p>
    <w:tbl>
      <w:tblPr>
        <w:tblStyle w:val="22"/>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8"/>
        <w:gridCol w:w="2031"/>
        <w:gridCol w:w="5485"/>
      </w:tblGrid>
      <w:tr w14:paraId="1AC6D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08" w:type="dxa"/>
            <w:noWrap w:val="0"/>
            <w:vAlign w:val="center"/>
          </w:tcPr>
          <w:p w14:paraId="7FC74BCA">
            <w:pPr>
              <w:pStyle w:val="41"/>
              <w:keepNext w:val="0"/>
              <w:keepLines w:val="0"/>
              <w:pageBreakBefore w:val="0"/>
              <w:widowControl w:val="0"/>
              <w:kinsoku/>
              <w:wordWrap/>
              <w:overflowPunct/>
              <w:topLinePunct w:val="0"/>
              <w:autoSpaceDE w:val="0"/>
              <w:autoSpaceDN w:val="0"/>
              <w:bidi w:val="0"/>
              <w:adjustRightInd/>
              <w:snapToGrid/>
              <w:spacing w:before="96" w:line="360" w:lineRule="auto"/>
              <w:ind w:left="105" w:leftChars="50" w:right="233"/>
              <w:jc w:val="left"/>
              <w:textAlignment w:val="auto"/>
              <w:rPr>
                <w:b/>
                <w:sz w:val="20"/>
                <w:szCs w:val="20"/>
                <w:highlight w:val="none"/>
                <w:lang w:eastAsia="en-US"/>
              </w:rPr>
            </w:pPr>
            <w:r>
              <w:rPr>
                <w:b/>
                <w:sz w:val="20"/>
                <w:szCs w:val="20"/>
                <w:highlight w:val="none"/>
                <w:lang w:eastAsia="en-US"/>
              </w:rPr>
              <w:t>序号</w:t>
            </w:r>
          </w:p>
        </w:tc>
        <w:tc>
          <w:tcPr>
            <w:tcW w:w="2031" w:type="dxa"/>
            <w:noWrap w:val="0"/>
            <w:vAlign w:val="center"/>
          </w:tcPr>
          <w:p w14:paraId="6A6E5EFA">
            <w:pPr>
              <w:pStyle w:val="41"/>
              <w:keepNext w:val="0"/>
              <w:keepLines w:val="0"/>
              <w:pageBreakBefore w:val="0"/>
              <w:widowControl w:val="0"/>
              <w:kinsoku/>
              <w:wordWrap/>
              <w:overflowPunct/>
              <w:topLinePunct w:val="0"/>
              <w:autoSpaceDE w:val="0"/>
              <w:autoSpaceDN w:val="0"/>
              <w:bidi w:val="0"/>
              <w:adjustRightInd/>
              <w:snapToGrid/>
              <w:spacing w:before="96" w:line="360" w:lineRule="auto"/>
              <w:ind w:left="105" w:leftChars="50" w:right="146"/>
              <w:jc w:val="left"/>
              <w:textAlignment w:val="auto"/>
              <w:rPr>
                <w:b/>
                <w:sz w:val="20"/>
                <w:szCs w:val="20"/>
                <w:highlight w:val="none"/>
                <w:lang w:eastAsia="en-US"/>
              </w:rPr>
            </w:pPr>
            <w:r>
              <w:rPr>
                <w:b/>
                <w:sz w:val="20"/>
                <w:szCs w:val="20"/>
                <w:highlight w:val="none"/>
                <w:lang w:eastAsia="en-US"/>
              </w:rPr>
              <w:t>条款名称</w:t>
            </w:r>
          </w:p>
        </w:tc>
        <w:tc>
          <w:tcPr>
            <w:tcW w:w="5485" w:type="dxa"/>
            <w:noWrap w:val="0"/>
            <w:vAlign w:val="center"/>
          </w:tcPr>
          <w:p w14:paraId="47A6B57F">
            <w:pPr>
              <w:pStyle w:val="41"/>
              <w:keepNext w:val="0"/>
              <w:keepLines w:val="0"/>
              <w:pageBreakBefore w:val="0"/>
              <w:widowControl w:val="0"/>
              <w:kinsoku/>
              <w:wordWrap/>
              <w:overflowPunct/>
              <w:topLinePunct w:val="0"/>
              <w:autoSpaceDE w:val="0"/>
              <w:autoSpaceDN w:val="0"/>
              <w:bidi w:val="0"/>
              <w:adjustRightInd/>
              <w:snapToGrid/>
              <w:spacing w:before="96" w:line="360" w:lineRule="auto"/>
              <w:ind w:left="105" w:leftChars="50"/>
              <w:jc w:val="left"/>
              <w:textAlignment w:val="auto"/>
              <w:rPr>
                <w:b/>
                <w:sz w:val="20"/>
                <w:szCs w:val="20"/>
                <w:highlight w:val="none"/>
                <w:lang w:eastAsia="en-US"/>
              </w:rPr>
            </w:pPr>
            <w:r>
              <w:rPr>
                <w:b/>
                <w:sz w:val="20"/>
                <w:szCs w:val="20"/>
                <w:highlight w:val="none"/>
                <w:lang w:eastAsia="en-US"/>
              </w:rPr>
              <w:t>内容、说明与要求</w:t>
            </w:r>
          </w:p>
        </w:tc>
      </w:tr>
      <w:tr w14:paraId="1505E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4" w:hRule="atLeast"/>
        </w:trPr>
        <w:tc>
          <w:tcPr>
            <w:tcW w:w="1008" w:type="dxa"/>
            <w:noWrap w:val="0"/>
            <w:vAlign w:val="center"/>
          </w:tcPr>
          <w:p w14:paraId="320926FA">
            <w:pPr>
              <w:pStyle w:val="41"/>
              <w:keepNext w:val="0"/>
              <w:keepLines w:val="0"/>
              <w:pageBreakBefore w:val="0"/>
              <w:widowControl w:val="0"/>
              <w:kinsoku/>
              <w:wordWrap/>
              <w:overflowPunct/>
              <w:topLinePunct w:val="0"/>
              <w:autoSpaceDE w:val="0"/>
              <w:autoSpaceDN w:val="0"/>
              <w:bidi w:val="0"/>
              <w:adjustRightInd/>
              <w:snapToGrid/>
              <w:spacing w:before="96" w:line="360" w:lineRule="auto"/>
              <w:ind w:left="105" w:leftChars="50"/>
              <w:jc w:val="left"/>
              <w:textAlignment w:val="auto"/>
              <w:rPr>
                <w:sz w:val="20"/>
                <w:szCs w:val="20"/>
                <w:highlight w:val="none"/>
                <w:lang w:eastAsia="en-US"/>
              </w:rPr>
            </w:pPr>
            <w:r>
              <w:rPr>
                <w:sz w:val="20"/>
                <w:szCs w:val="20"/>
                <w:highlight w:val="none"/>
                <w:lang w:eastAsia="en-US"/>
              </w:rPr>
              <w:t>1</w:t>
            </w:r>
          </w:p>
        </w:tc>
        <w:tc>
          <w:tcPr>
            <w:tcW w:w="2031" w:type="dxa"/>
            <w:noWrap w:val="0"/>
            <w:vAlign w:val="center"/>
          </w:tcPr>
          <w:p w14:paraId="74B43329">
            <w:pPr>
              <w:pStyle w:val="41"/>
              <w:keepNext w:val="0"/>
              <w:keepLines w:val="0"/>
              <w:pageBreakBefore w:val="0"/>
              <w:widowControl w:val="0"/>
              <w:kinsoku/>
              <w:wordWrap/>
              <w:overflowPunct/>
              <w:topLinePunct w:val="0"/>
              <w:autoSpaceDE w:val="0"/>
              <w:autoSpaceDN w:val="0"/>
              <w:bidi w:val="0"/>
              <w:adjustRightInd/>
              <w:snapToGrid/>
              <w:spacing w:line="360" w:lineRule="auto"/>
              <w:ind w:left="105" w:leftChars="50"/>
              <w:jc w:val="left"/>
              <w:textAlignment w:val="auto"/>
              <w:rPr>
                <w:rFonts w:hint="eastAsia" w:ascii="宋体" w:hAnsi="宋体" w:eastAsia="宋体" w:cs="宋体"/>
                <w:color w:val="auto"/>
                <w:sz w:val="20"/>
                <w:szCs w:val="20"/>
                <w:highlight w:val="none"/>
                <w:lang w:val="en-US" w:eastAsia="en-US"/>
              </w:rPr>
            </w:pPr>
            <w:r>
              <w:rPr>
                <w:rFonts w:hint="eastAsia" w:ascii="宋体" w:hAnsi="宋体" w:eastAsia="宋体" w:cs="宋体"/>
                <w:color w:val="auto"/>
                <w:sz w:val="20"/>
                <w:szCs w:val="20"/>
                <w:highlight w:val="yellow"/>
                <w:lang w:val="en-US" w:eastAsia="en-US"/>
              </w:rPr>
              <w:t>付款方式</w:t>
            </w:r>
          </w:p>
        </w:tc>
        <w:tc>
          <w:tcPr>
            <w:tcW w:w="5485" w:type="dxa"/>
            <w:noWrap w:val="0"/>
            <w:vAlign w:val="center"/>
          </w:tcPr>
          <w:p w14:paraId="5FE367C7">
            <w:pPr>
              <w:pStyle w:val="41"/>
              <w:keepNext w:val="0"/>
              <w:keepLines w:val="0"/>
              <w:pageBreakBefore w:val="0"/>
              <w:widowControl w:val="0"/>
              <w:kinsoku/>
              <w:wordWrap/>
              <w:overflowPunct/>
              <w:topLinePunct w:val="0"/>
              <w:autoSpaceDE w:val="0"/>
              <w:autoSpaceDN w:val="0"/>
              <w:bidi w:val="0"/>
              <w:adjustRightInd/>
              <w:snapToGrid/>
              <w:spacing w:line="360" w:lineRule="auto"/>
              <w:ind w:left="105" w:leftChars="50"/>
              <w:jc w:val="left"/>
              <w:textAlignment w:val="auto"/>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按批次货物送达采购人指定地点并经验收合格，中标人提供相应付款资料，经采购人审核无误后30个工作日内支付该批次货物价款的95%，最后一批次货物质保期满，无质量问题，</w:t>
            </w:r>
            <w:r>
              <w:rPr>
                <w:rFonts w:hint="eastAsia" w:ascii="宋体" w:hAnsi="宋体" w:eastAsia="宋体" w:cs="宋体"/>
                <w:color w:val="auto"/>
                <w:sz w:val="20"/>
                <w:szCs w:val="20"/>
                <w:highlight w:val="yellow"/>
                <w:lang w:val="en-US" w:eastAsia="zh-CN"/>
              </w:rPr>
              <w:t>余款一次性</w:t>
            </w:r>
            <w:r>
              <w:rPr>
                <w:rFonts w:hint="eastAsia" w:cs="宋体"/>
                <w:color w:val="auto"/>
                <w:sz w:val="20"/>
                <w:szCs w:val="20"/>
                <w:highlight w:val="yellow"/>
                <w:lang w:val="en-US" w:eastAsia="zh-CN"/>
              </w:rPr>
              <w:t>无息</w:t>
            </w:r>
            <w:r>
              <w:rPr>
                <w:rFonts w:hint="eastAsia" w:ascii="宋体" w:hAnsi="宋体" w:eastAsia="宋体" w:cs="宋体"/>
                <w:color w:val="auto"/>
                <w:sz w:val="20"/>
                <w:szCs w:val="20"/>
                <w:highlight w:val="yellow"/>
                <w:lang w:val="en-US" w:eastAsia="zh-CN"/>
              </w:rPr>
              <w:t>付清</w:t>
            </w:r>
            <w:r>
              <w:rPr>
                <w:rFonts w:hint="eastAsia" w:ascii="宋体" w:hAnsi="宋体" w:eastAsia="宋体" w:cs="宋体"/>
                <w:color w:val="auto"/>
                <w:sz w:val="20"/>
                <w:szCs w:val="20"/>
                <w:highlight w:val="none"/>
                <w:lang w:val="en-US" w:eastAsia="zh-CN"/>
              </w:rPr>
              <w:t>。</w:t>
            </w:r>
          </w:p>
        </w:tc>
      </w:tr>
      <w:tr w14:paraId="23410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008" w:type="dxa"/>
            <w:noWrap w:val="0"/>
            <w:vAlign w:val="center"/>
          </w:tcPr>
          <w:p w14:paraId="14A9691A">
            <w:pPr>
              <w:pStyle w:val="41"/>
              <w:keepNext w:val="0"/>
              <w:keepLines w:val="0"/>
              <w:pageBreakBefore w:val="0"/>
              <w:widowControl w:val="0"/>
              <w:kinsoku/>
              <w:wordWrap/>
              <w:overflowPunct/>
              <w:topLinePunct w:val="0"/>
              <w:autoSpaceDE w:val="0"/>
              <w:autoSpaceDN w:val="0"/>
              <w:bidi w:val="0"/>
              <w:adjustRightInd/>
              <w:snapToGrid/>
              <w:spacing w:before="93" w:line="360" w:lineRule="auto"/>
              <w:ind w:left="105" w:leftChars="50"/>
              <w:jc w:val="left"/>
              <w:textAlignment w:val="auto"/>
              <w:rPr>
                <w:sz w:val="20"/>
                <w:szCs w:val="20"/>
                <w:highlight w:val="none"/>
                <w:lang w:eastAsia="en-US"/>
              </w:rPr>
            </w:pPr>
            <w:r>
              <w:rPr>
                <w:sz w:val="20"/>
                <w:szCs w:val="20"/>
                <w:highlight w:val="none"/>
                <w:lang w:eastAsia="en-US"/>
              </w:rPr>
              <w:t>2</w:t>
            </w:r>
          </w:p>
        </w:tc>
        <w:tc>
          <w:tcPr>
            <w:tcW w:w="2031" w:type="dxa"/>
            <w:noWrap w:val="0"/>
            <w:vAlign w:val="center"/>
          </w:tcPr>
          <w:p w14:paraId="65875168">
            <w:pPr>
              <w:pStyle w:val="41"/>
              <w:keepNext w:val="0"/>
              <w:keepLines w:val="0"/>
              <w:pageBreakBefore w:val="0"/>
              <w:widowControl w:val="0"/>
              <w:kinsoku/>
              <w:wordWrap/>
              <w:overflowPunct/>
              <w:topLinePunct w:val="0"/>
              <w:autoSpaceDE w:val="0"/>
              <w:autoSpaceDN w:val="0"/>
              <w:bidi w:val="0"/>
              <w:adjustRightInd/>
              <w:snapToGrid/>
              <w:spacing w:line="360" w:lineRule="auto"/>
              <w:ind w:left="105" w:leftChars="50"/>
              <w:jc w:val="left"/>
              <w:textAlignment w:val="auto"/>
              <w:rPr>
                <w:rFonts w:hint="eastAsia" w:ascii="宋体" w:hAnsi="宋体" w:eastAsia="宋体" w:cs="宋体"/>
                <w:color w:val="auto"/>
                <w:sz w:val="20"/>
                <w:szCs w:val="20"/>
                <w:highlight w:val="none"/>
                <w:lang w:val="en-US" w:eastAsia="en-US"/>
              </w:rPr>
            </w:pPr>
            <w:r>
              <w:rPr>
                <w:rFonts w:hint="eastAsia" w:ascii="宋体" w:hAnsi="宋体" w:eastAsia="宋体" w:cs="宋体"/>
                <w:color w:val="auto"/>
                <w:sz w:val="20"/>
                <w:szCs w:val="20"/>
                <w:highlight w:val="none"/>
                <w:lang w:val="en-US" w:eastAsia="en-US"/>
              </w:rPr>
              <w:t>供货地点</w:t>
            </w:r>
          </w:p>
        </w:tc>
        <w:tc>
          <w:tcPr>
            <w:tcW w:w="5485" w:type="dxa"/>
            <w:noWrap w:val="0"/>
            <w:vAlign w:val="center"/>
          </w:tcPr>
          <w:p w14:paraId="46359BB3">
            <w:pPr>
              <w:pStyle w:val="41"/>
              <w:keepNext w:val="0"/>
              <w:keepLines w:val="0"/>
              <w:pageBreakBefore w:val="0"/>
              <w:widowControl w:val="0"/>
              <w:kinsoku/>
              <w:wordWrap/>
              <w:overflowPunct/>
              <w:topLinePunct w:val="0"/>
              <w:autoSpaceDE w:val="0"/>
              <w:autoSpaceDN w:val="0"/>
              <w:bidi w:val="0"/>
              <w:adjustRightInd/>
              <w:snapToGrid/>
              <w:spacing w:line="360" w:lineRule="auto"/>
              <w:ind w:left="105" w:leftChars="50"/>
              <w:jc w:val="left"/>
              <w:textAlignment w:val="auto"/>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阜阳市（指定地点）</w:t>
            </w:r>
          </w:p>
        </w:tc>
      </w:tr>
      <w:tr w14:paraId="09658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08" w:type="dxa"/>
            <w:noWrap w:val="0"/>
            <w:vAlign w:val="center"/>
          </w:tcPr>
          <w:p w14:paraId="4C214FC2">
            <w:pPr>
              <w:pStyle w:val="41"/>
              <w:keepNext w:val="0"/>
              <w:keepLines w:val="0"/>
              <w:pageBreakBefore w:val="0"/>
              <w:widowControl w:val="0"/>
              <w:kinsoku/>
              <w:wordWrap/>
              <w:overflowPunct/>
              <w:topLinePunct w:val="0"/>
              <w:autoSpaceDE w:val="0"/>
              <w:autoSpaceDN w:val="0"/>
              <w:bidi w:val="0"/>
              <w:adjustRightInd/>
              <w:snapToGrid/>
              <w:spacing w:before="96" w:line="360" w:lineRule="auto"/>
              <w:ind w:left="105" w:leftChars="50"/>
              <w:jc w:val="left"/>
              <w:textAlignment w:val="auto"/>
              <w:rPr>
                <w:color w:val="auto"/>
                <w:sz w:val="20"/>
                <w:szCs w:val="20"/>
                <w:highlight w:val="none"/>
                <w:lang w:eastAsia="en-US"/>
              </w:rPr>
            </w:pPr>
            <w:r>
              <w:rPr>
                <w:color w:val="auto"/>
                <w:sz w:val="20"/>
                <w:szCs w:val="20"/>
                <w:highlight w:val="none"/>
                <w:lang w:eastAsia="en-US"/>
              </w:rPr>
              <w:t>3</w:t>
            </w:r>
          </w:p>
        </w:tc>
        <w:tc>
          <w:tcPr>
            <w:tcW w:w="2031" w:type="dxa"/>
            <w:noWrap w:val="0"/>
            <w:vAlign w:val="center"/>
          </w:tcPr>
          <w:p w14:paraId="16CA3543">
            <w:pPr>
              <w:pStyle w:val="41"/>
              <w:keepNext w:val="0"/>
              <w:keepLines w:val="0"/>
              <w:pageBreakBefore w:val="0"/>
              <w:widowControl w:val="0"/>
              <w:kinsoku/>
              <w:wordWrap/>
              <w:overflowPunct/>
              <w:topLinePunct w:val="0"/>
              <w:autoSpaceDE w:val="0"/>
              <w:autoSpaceDN w:val="0"/>
              <w:bidi w:val="0"/>
              <w:adjustRightInd/>
              <w:snapToGrid/>
              <w:spacing w:line="360" w:lineRule="auto"/>
              <w:ind w:left="105" w:leftChars="50"/>
              <w:jc w:val="left"/>
              <w:textAlignment w:val="auto"/>
              <w:rPr>
                <w:rFonts w:hint="eastAsia" w:ascii="宋体" w:hAnsi="宋体" w:eastAsia="宋体" w:cs="宋体"/>
                <w:color w:val="auto"/>
                <w:sz w:val="20"/>
                <w:szCs w:val="20"/>
                <w:highlight w:val="none"/>
                <w:lang w:val="en-US" w:eastAsia="en-US"/>
              </w:rPr>
            </w:pPr>
            <w:r>
              <w:rPr>
                <w:rFonts w:hint="eastAsia" w:ascii="宋体" w:hAnsi="宋体" w:eastAsia="宋体" w:cs="宋体"/>
                <w:color w:val="auto"/>
                <w:sz w:val="20"/>
                <w:szCs w:val="20"/>
                <w:highlight w:val="none"/>
                <w:lang w:val="en-US" w:eastAsia="en-US"/>
              </w:rPr>
              <w:t>供货期限</w:t>
            </w:r>
          </w:p>
        </w:tc>
        <w:tc>
          <w:tcPr>
            <w:tcW w:w="5485" w:type="dxa"/>
            <w:noWrap w:val="0"/>
            <w:vAlign w:val="center"/>
          </w:tcPr>
          <w:p w14:paraId="496CBA90">
            <w:pPr>
              <w:pStyle w:val="41"/>
              <w:keepNext w:val="0"/>
              <w:keepLines w:val="0"/>
              <w:pageBreakBefore w:val="0"/>
              <w:widowControl w:val="0"/>
              <w:kinsoku/>
              <w:wordWrap/>
              <w:overflowPunct/>
              <w:topLinePunct w:val="0"/>
              <w:autoSpaceDE w:val="0"/>
              <w:autoSpaceDN w:val="0"/>
              <w:bidi w:val="0"/>
              <w:adjustRightInd/>
              <w:snapToGrid/>
              <w:spacing w:line="360" w:lineRule="auto"/>
              <w:ind w:left="105" w:leftChars="50"/>
              <w:jc w:val="left"/>
              <w:textAlignment w:val="auto"/>
              <w:rPr>
                <w:rFonts w:hint="default" w:ascii="宋体" w:hAnsi="宋体" w:eastAsia="宋体" w:cs="宋体"/>
                <w:color w:val="auto"/>
                <w:sz w:val="20"/>
                <w:szCs w:val="20"/>
                <w:highlight w:val="none"/>
                <w:lang w:val="en-US" w:eastAsia="zh-CN"/>
              </w:rPr>
            </w:pPr>
            <w:r>
              <w:rPr>
                <w:rFonts w:hint="eastAsia" w:cs="宋体"/>
                <w:color w:val="auto"/>
                <w:sz w:val="20"/>
                <w:szCs w:val="20"/>
                <w:highlight w:val="none"/>
                <w:lang w:val="en-US" w:eastAsia="zh-CN"/>
              </w:rPr>
              <w:t>6个月</w:t>
            </w:r>
            <w:r>
              <w:rPr>
                <w:rFonts w:hint="eastAsia" w:ascii="宋体" w:hAnsi="宋体" w:eastAsia="宋体" w:cs="宋体"/>
                <w:color w:val="auto"/>
                <w:sz w:val="20"/>
                <w:szCs w:val="20"/>
                <w:highlight w:val="none"/>
                <w:lang w:val="en-US" w:eastAsia="zh-CN"/>
              </w:rPr>
              <w:t>，本项目采用分批次配送模式（不超过3批次）。</w:t>
            </w:r>
          </w:p>
        </w:tc>
      </w:tr>
      <w:tr w14:paraId="56D36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08" w:type="dxa"/>
            <w:noWrap w:val="0"/>
            <w:vAlign w:val="center"/>
          </w:tcPr>
          <w:p w14:paraId="2B3EE0AD">
            <w:pPr>
              <w:pStyle w:val="41"/>
              <w:keepNext w:val="0"/>
              <w:keepLines w:val="0"/>
              <w:pageBreakBefore w:val="0"/>
              <w:widowControl w:val="0"/>
              <w:kinsoku/>
              <w:wordWrap/>
              <w:overflowPunct/>
              <w:topLinePunct w:val="0"/>
              <w:autoSpaceDE w:val="0"/>
              <w:autoSpaceDN w:val="0"/>
              <w:bidi w:val="0"/>
              <w:adjustRightInd/>
              <w:snapToGrid/>
              <w:spacing w:before="96" w:line="360" w:lineRule="auto"/>
              <w:ind w:left="105" w:leftChars="50"/>
              <w:jc w:val="left"/>
              <w:textAlignment w:val="auto"/>
              <w:rPr>
                <w:sz w:val="20"/>
                <w:szCs w:val="20"/>
                <w:highlight w:val="none"/>
                <w:lang w:eastAsia="en-US"/>
              </w:rPr>
            </w:pPr>
            <w:r>
              <w:rPr>
                <w:sz w:val="20"/>
                <w:szCs w:val="20"/>
                <w:highlight w:val="none"/>
                <w:lang w:eastAsia="en-US"/>
              </w:rPr>
              <w:t>4</w:t>
            </w:r>
          </w:p>
        </w:tc>
        <w:tc>
          <w:tcPr>
            <w:tcW w:w="2031" w:type="dxa"/>
            <w:noWrap w:val="0"/>
            <w:vAlign w:val="center"/>
          </w:tcPr>
          <w:p w14:paraId="6E44032E">
            <w:pPr>
              <w:pStyle w:val="41"/>
              <w:keepNext w:val="0"/>
              <w:keepLines w:val="0"/>
              <w:pageBreakBefore w:val="0"/>
              <w:widowControl w:val="0"/>
              <w:kinsoku/>
              <w:wordWrap/>
              <w:overflowPunct/>
              <w:topLinePunct w:val="0"/>
              <w:autoSpaceDE w:val="0"/>
              <w:autoSpaceDN w:val="0"/>
              <w:bidi w:val="0"/>
              <w:adjustRightInd/>
              <w:snapToGrid/>
              <w:spacing w:line="360" w:lineRule="auto"/>
              <w:ind w:left="105" w:leftChars="50"/>
              <w:jc w:val="left"/>
              <w:textAlignment w:val="auto"/>
              <w:rPr>
                <w:rFonts w:hint="eastAsia" w:ascii="宋体" w:hAnsi="宋体" w:eastAsia="宋体" w:cs="宋体"/>
                <w:color w:val="auto"/>
                <w:sz w:val="20"/>
                <w:szCs w:val="20"/>
                <w:highlight w:val="none"/>
                <w:lang w:val="en-US" w:eastAsia="en-US"/>
              </w:rPr>
            </w:pPr>
            <w:r>
              <w:rPr>
                <w:rFonts w:hint="eastAsia" w:ascii="宋体" w:hAnsi="宋体" w:eastAsia="宋体" w:cs="宋体"/>
                <w:color w:val="auto"/>
                <w:sz w:val="20"/>
                <w:szCs w:val="20"/>
                <w:highlight w:val="none"/>
                <w:lang w:val="en-US" w:eastAsia="en-US"/>
              </w:rPr>
              <w:t>免费质保期</w:t>
            </w:r>
          </w:p>
        </w:tc>
        <w:tc>
          <w:tcPr>
            <w:tcW w:w="5485" w:type="dxa"/>
            <w:noWrap w:val="0"/>
            <w:vAlign w:val="center"/>
          </w:tcPr>
          <w:p w14:paraId="500A0906">
            <w:pPr>
              <w:pStyle w:val="41"/>
              <w:keepNext w:val="0"/>
              <w:keepLines w:val="0"/>
              <w:pageBreakBefore w:val="0"/>
              <w:widowControl w:val="0"/>
              <w:kinsoku/>
              <w:wordWrap/>
              <w:overflowPunct/>
              <w:topLinePunct w:val="0"/>
              <w:autoSpaceDE w:val="0"/>
              <w:autoSpaceDN w:val="0"/>
              <w:bidi w:val="0"/>
              <w:adjustRightInd/>
              <w:snapToGrid/>
              <w:spacing w:line="360" w:lineRule="auto"/>
              <w:ind w:left="105" w:leftChars="50"/>
              <w:jc w:val="left"/>
              <w:textAlignment w:val="auto"/>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en-US"/>
              </w:rPr>
              <w:t>验收合格之日起</w:t>
            </w:r>
            <w:r>
              <w:rPr>
                <w:rFonts w:hint="eastAsia" w:cs="宋体"/>
                <w:color w:val="auto"/>
                <w:sz w:val="20"/>
                <w:szCs w:val="20"/>
                <w:highlight w:val="none"/>
                <w:lang w:val="en-US" w:eastAsia="zh-CN"/>
              </w:rPr>
              <w:t>6</w:t>
            </w:r>
            <w:r>
              <w:rPr>
                <w:rFonts w:hint="eastAsia" w:ascii="宋体" w:hAnsi="宋体" w:eastAsia="宋体" w:cs="宋体"/>
                <w:color w:val="auto"/>
                <w:sz w:val="20"/>
                <w:szCs w:val="20"/>
                <w:highlight w:val="none"/>
                <w:lang w:val="en-US" w:eastAsia="zh-CN"/>
              </w:rPr>
              <w:t>个月</w:t>
            </w:r>
          </w:p>
        </w:tc>
      </w:tr>
    </w:tbl>
    <w:p w14:paraId="166FD2D1">
      <w:pPr>
        <w:keepNext w:val="0"/>
        <w:keepLines w:val="0"/>
        <w:pageBreakBefore w:val="0"/>
        <w:widowControl w:val="0"/>
        <w:tabs>
          <w:tab w:val="left" w:pos="942"/>
        </w:tabs>
        <w:kinsoku/>
        <w:wordWrap/>
        <w:overflowPunct/>
        <w:topLinePunct w:val="0"/>
        <w:autoSpaceDE w:val="0"/>
        <w:autoSpaceDN w:val="0"/>
        <w:bidi w:val="0"/>
        <w:adjustRightInd/>
        <w:snapToGrid/>
        <w:spacing w:before="0" w:beforeLines="100" w:line="360" w:lineRule="auto"/>
        <w:ind w:right="363"/>
        <w:jc w:val="left"/>
        <w:textAlignment w:val="auto"/>
        <w:rPr>
          <w:rFonts w:hint="default"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二</w:t>
      </w:r>
      <w:r>
        <w:rPr>
          <w:rFonts w:ascii="宋体" w:hAnsi="宋体" w:eastAsia="宋体" w:cs="Times New Roman"/>
          <w:b/>
          <w:bCs/>
          <w:szCs w:val="21"/>
          <w:highlight w:val="none"/>
        </w:rPr>
        <w:t>、</w:t>
      </w:r>
      <w:r>
        <w:rPr>
          <w:rFonts w:hint="eastAsia" w:ascii="宋体" w:hAnsi="宋体" w:eastAsia="宋体" w:cs="Times New Roman"/>
          <w:b/>
          <w:bCs/>
          <w:szCs w:val="21"/>
          <w:highlight w:val="none"/>
          <w:lang w:val="en-US" w:eastAsia="zh-CN"/>
        </w:rPr>
        <w:t>货物需求</w:t>
      </w:r>
    </w:p>
    <w:p w14:paraId="4F57E296">
      <w:pPr>
        <w:keepNext w:val="0"/>
        <w:keepLines w:val="0"/>
        <w:pageBreakBefore w:val="0"/>
        <w:widowControl w:val="0"/>
        <w:kinsoku/>
        <w:wordWrap/>
        <w:overflowPunct/>
        <w:topLinePunct w:val="0"/>
        <w:autoSpaceDE w:val="0"/>
        <w:autoSpaceDN w:val="0"/>
        <w:bidi w:val="0"/>
        <w:adjustRightInd/>
        <w:snapToGrid/>
        <w:spacing w:line="360" w:lineRule="auto"/>
        <w:ind w:right="0" w:firstLine="422" w:firstLineChars="200"/>
        <w:jc w:val="left"/>
        <w:textAlignment w:val="auto"/>
        <w:rPr>
          <w:rFonts w:hint="eastAsia" w:ascii="宋体" w:hAnsi="宋体" w:eastAsia="宋体" w:cs="宋体"/>
          <w:b w:val="0"/>
          <w:bCs w:val="0"/>
          <w:kern w:val="0"/>
          <w:szCs w:val="21"/>
          <w:highlight w:val="none"/>
          <w:lang w:val="en-US" w:eastAsia="zh-CN" w:bidi="zh-CN"/>
        </w:rPr>
      </w:pPr>
      <w:r>
        <w:rPr>
          <w:rFonts w:hint="eastAsia" w:ascii="宋体" w:hAnsi="宋体" w:eastAsia="宋体" w:cs="宋体"/>
          <w:b/>
          <w:bCs/>
          <w:kern w:val="0"/>
          <w:szCs w:val="21"/>
          <w:highlight w:val="none"/>
          <w:lang w:val="en-US" w:eastAsia="zh-CN" w:bidi="zh-CN"/>
        </w:rPr>
        <w:t>（一）需求数量</w:t>
      </w:r>
    </w:p>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6"/>
        <w:gridCol w:w="728"/>
        <w:gridCol w:w="1150"/>
        <w:gridCol w:w="2938"/>
        <w:gridCol w:w="1750"/>
        <w:gridCol w:w="587"/>
        <w:gridCol w:w="788"/>
        <w:gridCol w:w="433"/>
      </w:tblGrid>
      <w:tr w14:paraId="11E3A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blHeader/>
        </w:trPr>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8BDD2">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序号</w:t>
            </w:r>
          </w:p>
        </w:tc>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26F29">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包段</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DAC25">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产品名称</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DEA75">
            <w:pPr>
              <w:keepNext w:val="0"/>
              <w:keepLines w:val="0"/>
              <w:widowControl/>
              <w:suppressLineNumbers w:val="0"/>
              <w:jc w:val="left"/>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规格型号</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C0D71">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质量标准或推荐品牌</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6B9F7">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单位</w:t>
            </w:r>
          </w:p>
        </w:tc>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8B041">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暂定数量</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D8FF0">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备注</w:t>
            </w:r>
          </w:p>
        </w:tc>
      </w:tr>
      <w:tr w14:paraId="66E33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DFA9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1</w:t>
            </w:r>
          </w:p>
        </w:tc>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6D478">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包1</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F8DA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涂白剂</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4669">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成分：生石灰、盐、石硫合剂，硫磺，动植物油，苏云杆菌，具体指标要求见谈判文件</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1319">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国光、将军树、美利信、莱恩坪安、飘绿、树保</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163D">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吨</w:t>
            </w:r>
          </w:p>
        </w:tc>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F0448">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127</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24332">
            <w:pPr>
              <w:jc w:val="center"/>
              <w:rPr>
                <w:rFonts w:hint="eastAsia" w:ascii="宋体" w:hAnsi="宋体" w:eastAsia="宋体" w:cs="宋体"/>
                <w:color w:val="auto"/>
                <w:kern w:val="0"/>
                <w:sz w:val="20"/>
                <w:szCs w:val="20"/>
                <w:highlight w:val="none"/>
                <w:lang w:val="en-US" w:eastAsia="zh-CN" w:bidi="zh-CN"/>
              </w:rPr>
            </w:pPr>
          </w:p>
        </w:tc>
      </w:tr>
      <w:tr w14:paraId="22720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3"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F13DD">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2</w:t>
            </w:r>
          </w:p>
        </w:tc>
        <w:tc>
          <w:tcPr>
            <w:tcW w:w="72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351B">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包2</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31609">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保温棉（单布）</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4A6A">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100卷/袋，规格：长16m*宽18cm/卷，每平方米不小于120g，每卷不低于360g。</w:t>
            </w:r>
          </w:p>
          <w:p w14:paraId="56ADC56F">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材质：植物纤维+聚丙烯（可降解材料）；厚度：单层、不低于1.5mm厚</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2745">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国标</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58220">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袋</w:t>
            </w:r>
          </w:p>
        </w:tc>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2B5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600</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0527">
            <w:pPr>
              <w:jc w:val="center"/>
              <w:rPr>
                <w:rFonts w:hint="eastAsia" w:ascii="宋体" w:hAnsi="宋体" w:eastAsia="宋体" w:cs="宋体"/>
                <w:color w:val="auto"/>
                <w:kern w:val="0"/>
                <w:sz w:val="20"/>
                <w:szCs w:val="20"/>
                <w:highlight w:val="none"/>
                <w:lang w:val="en-US" w:eastAsia="zh-CN" w:bidi="zh-CN"/>
              </w:rPr>
            </w:pPr>
          </w:p>
        </w:tc>
      </w:tr>
      <w:tr w14:paraId="30469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E49D5">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3</w:t>
            </w:r>
          </w:p>
        </w:tc>
        <w:tc>
          <w:tcPr>
            <w:tcW w:w="7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6409">
            <w:pPr>
              <w:jc w:val="center"/>
              <w:rPr>
                <w:rFonts w:hint="eastAsia" w:ascii="宋体" w:hAnsi="宋体" w:eastAsia="宋体" w:cs="宋体"/>
                <w:color w:val="auto"/>
                <w:kern w:val="0"/>
                <w:sz w:val="20"/>
                <w:szCs w:val="20"/>
                <w:highlight w:val="none"/>
                <w:lang w:val="en-US" w:eastAsia="zh-CN" w:bidi="zh-CN"/>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39E1">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保温膜（防寒裹树）</w:t>
            </w:r>
          </w:p>
        </w:tc>
        <w:tc>
          <w:tcPr>
            <w:tcW w:w="2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A592">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（1）材质：聚乙烯。</w:t>
            </w:r>
          </w:p>
          <w:p w14:paraId="0622EC1D">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（2）厚度：不少于 0.01mm。</w:t>
            </w:r>
          </w:p>
          <w:p w14:paraId="4CBACC98">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（3）规格尺寸：幅宽：25cm~30cm，单卷长度：500m</w:t>
            </w:r>
          </w:p>
          <w:p w14:paraId="0A583AA6">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 xml:space="preserve">（4）颜色：透明/乳白色 </w:t>
            </w:r>
          </w:p>
          <w:p w14:paraId="2796F0A9">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 xml:space="preserve">（5）拉伸强度：≥10MPa </w:t>
            </w:r>
          </w:p>
          <w:p w14:paraId="5F25174F">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 xml:space="preserve">（6）断裂伸长率：≥100% </w:t>
            </w:r>
          </w:p>
          <w:p w14:paraId="4A217306">
            <w:pPr>
              <w:keepNext w:val="0"/>
              <w:keepLines w:val="0"/>
              <w:widowControl/>
              <w:suppressLineNumbers w:val="0"/>
              <w:jc w:val="left"/>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（7）吸水率： ≤1.0%</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C46B">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国标</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217B2">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卷</w:t>
            </w:r>
          </w:p>
        </w:tc>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648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zh-CN"/>
              </w:rPr>
            </w:pPr>
            <w:r>
              <w:rPr>
                <w:rFonts w:hint="eastAsia" w:ascii="宋体" w:hAnsi="宋体" w:eastAsia="宋体" w:cs="宋体"/>
                <w:color w:val="auto"/>
                <w:kern w:val="0"/>
                <w:sz w:val="20"/>
                <w:szCs w:val="20"/>
                <w:highlight w:val="none"/>
                <w:lang w:val="en-US" w:eastAsia="zh-CN" w:bidi="zh-CN"/>
              </w:rPr>
              <w:t>1470</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E5009">
            <w:pPr>
              <w:jc w:val="center"/>
              <w:rPr>
                <w:rFonts w:hint="eastAsia" w:ascii="宋体" w:hAnsi="宋体" w:eastAsia="宋体" w:cs="宋体"/>
                <w:color w:val="auto"/>
                <w:kern w:val="0"/>
                <w:sz w:val="20"/>
                <w:szCs w:val="20"/>
                <w:highlight w:val="none"/>
                <w:lang w:val="en-US" w:eastAsia="zh-CN" w:bidi="zh-CN"/>
              </w:rPr>
            </w:pPr>
          </w:p>
        </w:tc>
      </w:tr>
    </w:tbl>
    <w:p w14:paraId="5C96328E">
      <w:pPr>
        <w:keepNext w:val="0"/>
        <w:keepLines w:val="0"/>
        <w:pageBreakBefore w:val="0"/>
        <w:widowControl w:val="0"/>
        <w:kinsoku/>
        <w:wordWrap/>
        <w:overflowPunct/>
        <w:topLinePunct w:val="0"/>
        <w:autoSpaceDE w:val="0"/>
        <w:autoSpaceDN w:val="0"/>
        <w:bidi w:val="0"/>
        <w:adjustRightInd/>
        <w:snapToGrid/>
        <w:spacing w:before="0" w:beforeLines="100" w:line="360" w:lineRule="auto"/>
        <w:ind w:right="0" w:firstLine="422" w:firstLineChars="200"/>
        <w:jc w:val="left"/>
        <w:textAlignment w:val="auto"/>
        <w:rPr>
          <w:rFonts w:hint="eastAsia" w:ascii="宋体" w:hAnsi="宋体" w:eastAsia="宋体" w:cs="宋体"/>
          <w:b/>
          <w:bCs/>
          <w:kern w:val="0"/>
          <w:szCs w:val="21"/>
          <w:highlight w:val="none"/>
          <w:lang w:val="en-US" w:eastAsia="zh-CN" w:bidi="zh-CN"/>
        </w:rPr>
      </w:pPr>
      <w:r>
        <w:rPr>
          <w:rFonts w:hint="eastAsia" w:ascii="宋体" w:hAnsi="宋体" w:eastAsia="宋体" w:cs="宋体"/>
          <w:b/>
          <w:bCs/>
          <w:kern w:val="0"/>
          <w:szCs w:val="21"/>
          <w:highlight w:val="none"/>
          <w:lang w:val="en-US" w:eastAsia="zh-CN" w:bidi="zh-CN"/>
        </w:rPr>
        <w:t>（二）</w:t>
      </w:r>
      <w:r>
        <w:rPr>
          <w:rFonts w:hint="eastAsia" w:ascii="宋体" w:hAnsi="宋体" w:cs="宋体"/>
          <w:b/>
          <w:bCs/>
          <w:sz w:val="21"/>
          <w:szCs w:val="21"/>
          <w:highlight w:val="none"/>
          <w:lang w:val="en-US" w:eastAsia="zh-CN"/>
        </w:rPr>
        <w:t>技</w:t>
      </w:r>
      <w:r>
        <w:rPr>
          <w:rFonts w:hint="eastAsia"/>
          <w:b/>
          <w:bCs/>
          <w:highlight w:val="none"/>
        </w:rPr>
        <w:t>术参数与</w:t>
      </w:r>
      <w:r>
        <w:rPr>
          <w:rFonts w:hint="eastAsia"/>
          <w:b/>
          <w:bCs/>
          <w:highlight w:val="none"/>
          <w:lang w:val="en-US" w:eastAsia="zh-CN"/>
        </w:rPr>
        <w:t>品牌</w:t>
      </w:r>
      <w:r>
        <w:rPr>
          <w:rFonts w:hint="eastAsia"/>
          <w:b/>
          <w:bCs/>
          <w:highlight w:val="none"/>
        </w:rPr>
        <w:t>要求</w:t>
      </w:r>
    </w:p>
    <w:p w14:paraId="5CCAD588">
      <w:pPr>
        <w:keepNext w:val="0"/>
        <w:keepLines w:val="0"/>
        <w:pageBreakBefore w:val="0"/>
        <w:widowControl w:val="0"/>
        <w:kinsoku/>
        <w:wordWrap/>
        <w:overflowPunct/>
        <w:topLinePunct w:val="0"/>
        <w:autoSpaceDE w:val="0"/>
        <w:autoSpaceDN w:val="0"/>
        <w:bidi w:val="0"/>
        <w:adjustRightInd/>
        <w:snapToGrid/>
        <w:spacing w:line="360" w:lineRule="auto"/>
        <w:ind w:right="0" w:firstLine="422"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b/>
          <w:bCs/>
          <w:kern w:val="0"/>
          <w:szCs w:val="21"/>
          <w:highlight w:val="none"/>
          <w:lang w:val="en-US" w:eastAsia="zh-CN" w:bidi="zh-CN"/>
        </w:rPr>
        <w:t>1、涂白剂：约需要涂白剂127吨。品牌：国光、将军树、美利信、莱恩坪安、飘绿、树保等</w:t>
      </w:r>
      <w:r>
        <w:rPr>
          <w:rFonts w:hint="eastAsia" w:ascii="宋体" w:hAnsi="宋体" w:eastAsia="宋体" w:cs="宋体"/>
          <w:kern w:val="0"/>
          <w:szCs w:val="21"/>
          <w:highlight w:val="none"/>
          <w:lang w:val="en-US" w:eastAsia="zh-CN" w:bidi="zh-CN"/>
        </w:rPr>
        <w:t>。</w:t>
      </w:r>
    </w:p>
    <w:p w14:paraId="59FA8C57">
      <w:pPr>
        <w:keepNext w:val="0"/>
        <w:keepLines w:val="0"/>
        <w:pageBreakBefore w:val="0"/>
        <w:widowControl w:val="0"/>
        <w:kinsoku/>
        <w:wordWrap/>
        <w:overflowPunct/>
        <w:topLinePunct w:val="0"/>
        <w:autoSpaceDE w:val="0"/>
        <w:autoSpaceDN w:val="0"/>
        <w:bidi w:val="0"/>
        <w:adjustRightInd/>
        <w:snapToGrid/>
        <w:spacing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成分：生石灰、盐、石硫合剂，硫磺，动植物油，苏云杆菌。</w:t>
      </w:r>
    </w:p>
    <w:p w14:paraId="27468001">
      <w:pPr>
        <w:keepNext w:val="0"/>
        <w:keepLines w:val="0"/>
        <w:pageBreakBefore w:val="0"/>
        <w:widowControl w:val="0"/>
        <w:kinsoku/>
        <w:wordWrap/>
        <w:overflowPunct/>
        <w:topLinePunct w:val="0"/>
        <w:autoSpaceDE w:val="0"/>
        <w:autoSpaceDN w:val="0"/>
        <w:bidi w:val="0"/>
        <w:adjustRightInd/>
        <w:snapToGrid/>
        <w:spacing w:line="360" w:lineRule="auto"/>
        <w:ind w:right="0" w:firstLine="420" w:firstLineChars="200"/>
        <w:jc w:val="left"/>
        <w:textAlignment w:val="auto"/>
        <w:rPr>
          <w:rFonts w:hint="default"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具体指标要求如下：</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2961"/>
        <w:gridCol w:w="2782"/>
        <w:gridCol w:w="2336"/>
      </w:tblGrid>
      <w:tr w14:paraId="277C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2C15B102">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序号</w:t>
            </w:r>
          </w:p>
        </w:tc>
        <w:tc>
          <w:tcPr>
            <w:tcW w:w="1667" w:type="pct"/>
            <w:vAlign w:val="center"/>
          </w:tcPr>
          <w:p w14:paraId="5E5BEB78">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检查项目名称</w:t>
            </w:r>
          </w:p>
        </w:tc>
        <w:tc>
          <w:tcPr>
            <w:tcW w:w="1566" w:type="pct"/>
            <w:vAlign w:val="center"/>
          </w:tcPr>
          <w:p w14:paraId="64164CE4">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指标</w:t>
            </w:r>
          </w:p>
        </w:tc>
        <w:tc>
          <w:tcPr>
            <w:tcW w:w="1315" w:type="pct"/>
            <w:vAlign w:val="center"/>
          </w:tcPr>
          <w:p w14:paraId="5BFEC22A">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备注</w:t>
            </w:r>
          </w:p>
        </w:tc>
      </w:tr>
      <w:tr w14:paraId="6D87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0463FD4D">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1</w:t>
            </w:r>
          </w:p>
        </w:tc>
        <w:tc>
          <w:tcPr>
            <w:tcW w:w="1667" w:type="pct"/>
            <w:vAlign w:val="center"/>
          </w:tcPr>
          <w:p w14:paraId="6151EB2D">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白度值%</w:t>
            </w:r>
          </w:p>
        </w:tc>
        <w:tc>
          <w:tcPr>
            <w:tcW w:w="1566" w:type="pct"/>
            <w:vAlign w:val="center"/>
          </w:tcPr>
          <w:p w14:paraId="4514CEEC">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＞80</w:t>
            </w:r>
          </w:p>
        </w:tc>
        <w:tc>
          <w:tcPr>
            <w:tcW w:w="1315" w:type="pct"/>
            <w:vAlign w:val="center"/>
          </w:tcPr>
          <w:p w14:paraId="6C6AEB98">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eastAsia" w:ascii="宋体" w:hAnsi="宋体" w:eastAsia="宋体" w:cs="宋体"/>
                <w:kern w:val="0"/>
                <w:szCs w:val="21"/>
                <w:highlight w:val="none"/>
                <w:vertAlign w:val="baseline"/>
                <w:lang w:val="en-US" w:eastAsia="zh-CN" w:bidi="zh-CN"/>
              </w:rPr>
            </w:pPr>
          </w:p>
        </w:tc>
      </w:tr>
      <w:tr w14:paraId="1D1E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563553A3">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2</w:t>
            </w:r>
          </w:p>
        </w:tc>
        <w:tc>
          <w:tcPr>
            <w:tcW w:w="1667" w:type="pct"/>
            <w:vAlign w:val="center"/>
          </w:tcPr>
          <w:p w14:paraId="1F4AC219">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干燥时间（表干）/h</w:t>
            </w:r>
          </w:p>
        </w:tc>
        <w:tc>
          <w:tcPr>
            <w:tcW w:w="1566" w:type="pct"/>
            <w:vAlign w:val="center"/>
          </w:tcPr>
          <w:p w14:paraId="11A1AC2E">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＜2h</w:t>
            </w:r>
          </w:p>
        </w:tc>
        <w:tc>
          <w:tcPr>
            <w:tcW w:w="1315" w:type="pct"/>
            <w:vAlign w:val="center"/>
          </w:tcPr>
          <w:p w14:paraId="64C3BBED">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手摸无掉粉</w:t>
            </w:r>
          </w:p>
        </w:tc>
      </w:tr>
      <w:tr w14:paraId="1132D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17A45127">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3</w:t>
            </w:r>
          </w:p>
        </w:tc>
        <w:tc>
          <w:tcPr>
            <w:tcW w:w="1667" w:type="pct"/>
            <w:vAlign w:val="center"/>
          </w:tcPr>
          <w:p w14:paraId="7CDC1509">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细度（200目筛余量）%</w:t>
            </w:r>
          </w:p>
        </w:tc>
        <w:tc>
          <w:tcPr>
            <w:tcW w:w="1566" w:type="pct"/>
            <w:vAlign w:val="center"/>
          </w:tcPr>
          <w:p w14:paraId="23EDC0FF">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≤0.5</w:t>
            </w:r>
          </w:p>
        </w:tc>
        <w:tc>
          <w:tcPr>
            <w:tcW w:w="1315" w:type="pct"/>
            <w:vAlign w:val="center"/>
          </w:tcPr>
          <w:p w14:paraId="5D8B5A24">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eastAsia" w:ascii="宋体" w:hAnsi="宋体" w:eastAsia="宋体" w:cs="宋体"/>
                <w:kern w:val="0"/>
                <w:szCs w:val="21"/>
                <w:highlight w:val="none"/>
                <w:vertAlign w:val="baseline"/>
                <w:lang w:val="en-US" w:eastAsia="zh-CN" w:bidi="zh-CN"/>
              </w:rPr>
            </w:pPr>
          </w:p>
        </w:tc>
      </w:tr>
      <w:tr w14:paraId="20B6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6B837AFB">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4</w:t>
            </w:r>
          </w:p>
        </w:tc>
        <w:tc>
          <w:tcPr>
            <w:tcW w:w="1667" w:type="pct"/>
            <w:vAlign w:val="center"/>
          </w:tcPr>
          <w:p w14:paraId="3E8F16F7">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耐水性h</w:t>
            </w:r>
          </w:p>
        </w:tc>
        <w:tc>
          <w:tcPr>
            <w:tcW w:w="1566" w:type="pct"/>
            <w:vAlign w:val="center"/>
          </w:tcPr>
          <w:p w14:paraId="147A1894">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大于等于72h</w:t>
            </w:r>
          </w:p>
        </w:tc>
        <w:tc>
          <w:tcPr>
            <w:tcW w:w="1315" w:type="pct"/>
            <w:vAlign w:val="center"/>
          </w:tcPr>
          <w:p w14:paraId="3F10A843">
            <w:pPr>
              <w:keepNext w:val="0"/>
              <w:keepLines w:val="0"/>
              <w:pageBreakBefore w:val="0"/>
              <w:widowControl w:val="0"/>
              <w:kinsoku/>
              <w:wordWrap/>
              <w:overflowPunct/>
              <w:topLinePunct w:val="0"/>
              <w:autoSpaceDE w:val="0"/>
              <w:autoSpaceDN w:val="0"/>
              <w:bidi w:val="0"/>
              <w:adjustRightInd/>
              <w:snapToGrid/>
              <w:spacing w:line="240" w:lineRule="auto"/>
              <w:ind w:right="0"/>
              <w:jc w:val="left"/>
              <w:textAlignment w:val="auto"/>
              <w:rPr>
                <w:rFonts w:hint="default" w:ascii="宋体" w:hAnsi="宋体" w:eastAsia="宋体" w:cs="宋体"/>
                <w:kern w:val="0"/>
                <w:szCs w:val="21"/>
                <w:highlight w:val="none"/>
                <w:vertAlign w:val="baseline"/>
                <w:lang w:val="en-US" w:eastAsia="zh-CN" w:bidi="zh-CN"/>
              </w:rPr>
            </w:pPr>
            <w:r>
              <w:rPr>
                <w:rFonts w:hint="eastAsia" w:ascii="宋体" w:hAnsi="宋体" w:eastAsia="宋体" w:cs="宋体"/>
                <w:kern w:val="0"/>
                <w:szCs w:val="21"/>
                <w:highlight w:val="none"/>
                <w:vertAlign w:val="baseline"/>
                <w:lang w:val="en-US" w:eastAsia="zh-CN" w:bidi="zh-CN"/>
              </w:rPr>
              <w:t>未发现起泡、开裂及掉粉</w:t>
            </w:r>
          </w:p>
        </w:tc>
      </w:tr>
    </w:tbl>
    <w:p w14:paraId="4EF8461D">
      <w:pPr>
        <w:keepNext w:val="0"/>
        <w:keepLines w:val="0"/>
        <w:pageBreakBefore w:val="0"/>
        <w:widowControl w:val="0"/>
        <w:kinsoku/>
        <w:wordWrap/>
        <w:overflowPunct/>
        <w:topLinePunct w:val="0"/>
        <w:autoSpaceDE w:val="0"/>
        <w:autoSpaceDN w:val="0"/>
        <w:bidi w:val="0"/>
        <w:adjustRightInd/>
        <w:snapToGrid/>
        <w:spacing w:before="0" w:beforeLines="100"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供应商所供货物的质量、性能、品次不能低于参考品牌，并于中标后提供满足以上指标的检测报告，如低于参考品牌，采购人有权要求从其选择一种品牌供货，对此供应商不能拒绝，且价款不予调整，否则视为供应商违约，按违约条款执行。</w:t>
      </w:r>
    </w:p>
    <w:p w14:paraId="12897DBC">
      <w:pPr>
        <w:keepNext w:val="0"/>
        <w:keepLines w:val="0"/>
        <w:pageBreakBefore w:val="0"/>
        <w:widowControl w:val="0"/>
        <w:kinsoku/>
        <w:wordWrap/>
        <w:overflowPunct/>
        <w:topLinePunct w:val="0"/>
        <w:autoSpaceDE w:val="0"/>
        <w:autoSpaceDN w:val="0"/>
        <w:bidi w:val="0"/>
        <w:adjustRightInd/>
        <w:snapToGrid/>
        <w:spacing w:line="360" w:lineRule="auto"/>
        <w:ind w:right="0" w:firstLine="422"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b/>
          <w:bCs/>
          <w:kern w:val="0"/>
          <w:szCs w:val="21"/>
          <w:highlight w:val="none"/>
          <w:lang w:val="en-US" w:eastAsia="zh-CN" w:bidi="zh-CN"/>
        </w:rPr>
        <w:t>2、保温棉（单布）：约需要600袋保温棉，100卷/袋，规格：长16m*宽18cm/卷，每平方米不小于120g，每卷不低于360g。</w:t>
      </w:r>
    </w:p>
    <w:p w14:paraId="6E247CA4">
      <w:pPr>
        <w:keepNext w:val="0"/>
        <w:keepLines w:val="0"/>
        <w:pageBreakBefore w:val="0"/>
        <w:widowControl w:val="0"/>
        <w:kinsoku/>
        <w:wordWrap/>
        <w:overflowPunct/>
        <w:topLinePunct w:val="0"/>
        <w:autoSpaceDE w:val="0"/>
        <w:autoSpaceDN w:val="0"/>
        <w:bidi w:val="0"/>
        <w:adjustRightInd/>
        <w:snapToGrid/>
        <w:spacing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材质：植物纤维+聚丙烯（可降解材料）；厚度：单层、不低于1.5mm厚。</w:t>
      </w:r>
    </w:p>
    <w:p w14:paraId="607C6003">
      <w:pPr>
        <w:keepNext w:val="0"/>
        <w:keepLines w:val="0"/>
        <w:pageBreakBefore w:val="0"/>
        <w:widowControl w:val="0"/>
        <w:kinsoku/>
        <w:wordWrap/>
        <w:overflowPunct/>
        <w:topLinePunct w:val="0"/>
        <w:autoSpaceDE w:val="0"/>
        <w:autoSpaceDN w:val="0"/>
        <w:bidi w:val="0"/>
        <w:adjustRightInd/>
        <w:snapToGrid/>
        <w:spacing w:line="360" w:lineRule="auto"/>
        <w:ind w:right="0" w:firstLine="422" w:firstLineChars="200"/>
        <w:jc w:val="left"/>
        <w:textAlignment w:val="auto"/>
        <w:rPr>
          <w:rFonts w:hint="eastAsia" w:ascii="宋体" w:hAnsi="宋体" w:eastAsia="宋体" w:cs="宋体"/>
          <w:b/>
          <w:bCs/>
          <w:kern w:val="0"/>
          <w:szCs w:val="21"/>
          <w:highlight w:val="none"/>
          <w:lang w:val="en-US" w:eastAsia="zh-CN" w:bidi="zh-CN"/>
        </w:rPr>
      </w:pPr>
      <w:r>
        <w:rPr>
          <w:rFonts w:hint="eastAsia" w:ascii="宋体" w:hAnsi="宋体" w:eastAsia="宋体" w:cs="宋体"/>
          <w:b/>
          <w:bCs/>
          <w:kern w:val="0"/>
          <w:szCs w:val="21"/>
          <w:highlight w:val="none"/>
          <w:lang w:val="en-US" w:eastAsia="zh-CN" w:bidi="zh-CN"/>
        </w:rPr>
        <w:t>3、保温膜（防寒裹树）:约需要1470卷保温膜。</w:t>
      </w:r>
    </w:p>
    <w:p w14:paraId="3B2C0D8E">
      <w:pPr>
        <w:keepNext w:val="0"/>
        <w:keepLines w:val="0"/>
        <w:pageBreakBefore w:val="0"/>
        <w:widowControl w:val="0"/>
        <w:kinsoku/>
        <w:wordWrap/>
        <w:overflowPunct/>
        <w:topLinePunct w:val="0"/>
        <w:autoSpaceDE w:val="0"/>
        <w:autoSpaceDN w:val="0"/>
        <w:bidi w:val="0"/>
        <w:adjustRightInd/>
        <w:snapToGrid/>
        <w:spacing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（1）材质：聚乙烯。</w:t>
      </w:r>
    </w:p>
    <w:p w14:paraId="316A19C1">
      <w:pPr>
        <w:keepNext w:val="0"/>
        <w:keepLines w:val="0"/>
        <w:pageBreakBefore w:val="0"/>
        <w:widowControl w:val="0"/>
        <w:kinsoku/>
        <w:wordWrap/>
        <w:overflowPunct/>
        <w:topLinePunct w:val="0"/>
        <w:autoSpaceDE w:val="0"/>
        <w:autoSpaceDN w:val="0"/>
        <w:bidi w:val="0"/>
        <w:adjustRightInd/>
        <w:snapToGrid/>
        <w:spacing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（2）厚度：不少于 0.01mm。</w:t>
      </w:r>
    </w:p>
    <w:p w14:paraId="49239D29">
      <w:pPr>
        <w:keepNext w:val="0"/>
        <w:keepLines w:val="0"/>
        <w:pageBreakBefore w:val="0"/>
        <w:widowControl w:val="0"/>
        <w:kinsoku/>
        <w:wordWrap/>
        <w:overflowPunct/>
        <w:topLinePunct w:val="0"/>
        <w:autoSpaceDE w:val="0"/>
        <w:autoSpaceDN w:val="0"/>
        <w:bidi w:val="0"/>
        <w:adjustRightInd/>
        <w:snapToGrid/>
        <w:spacing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（3）规格尺寸：幅宽：25cm~30cm，单卷长度：500m</w:t>
      </w:r>
    </w:p>
    <w:p w14:paraId="2A63BCB6">
      <w:pPr>
        <w:keepNext w:val="0"/>
        <w:keepLines w:val="0"/>
        <w:pageBreakBefore w:val="0"/>
        <w:widowControl w:val="0"/>
        <w:kinsoku/>
        <w:wordWrap/>
        <w:overflowPunct/>
        <w:topLinePunct w:val="0"/>
        <w:autoSpaceDE w:val="0"/>
        <w:autoSpaceDN w:val="0"/>
        <w:bidi w:val="0"/>
        <w:adjustRightInd/>
        <w:snapToGrid/>
        <w:spacing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 xml:space="preserve">（4）颜色：透明/乳白色 </w:t>
      </w:r>
    </w:p>
    <w:p w14:paraId="49F442DC">
      <w:pPr>
        <w:keepNext w:val="0"/>
        <w:keepLines w:val="0"/>
        <w:pageBreakBefore w:val="0"/>
        <w:widowControl w:val="0"/>
        <w:kinsoku/>
        <w:wordWrap/>
        <w:overflowPunct/>
        <w:topLinePunct w:val="0"/>
        <w:autoSpaceDE w:val="0"/>
        <w:autoSpaceDN w:val="0"/>
        <w:bidi w:val="0"/>
        <w:adjustRightInd/>
        <w:snapToGrid/>
        <w:spacing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 xml:space="preserve">（5）拉伸强度：≥10MPa </w:t>
      </w:r>
    </w:p>
    <w:p w14:paraId="01CC5060">
      <w:pPr>
        <w:keepNext w:val="0"/>
        <w:keepLines w:val="0"/>
        <w:pageBreakBefore w:val="0"/>
        <w:widowControl w:val="0"/>
        <w:kinsoku/>
        <w:wordWrap/>
        <w:overflowPunct/>
        <w:topLinePunct w:val="0"/>
        <w:autoSpaceDE w:val="0"/>
        <w:autoSpaceDN w:val="0"/>
        <w:bidi w:val="0"/>
        <w:adjustRightInd/>
        <w:snapToGrid/>
        <w:spacing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 xml:space="preserve">（6）断裂伸长率：≥100% </w:t>
      </w:r>
    </w:p>
    <w:p w14:paraId="2FB46120">
      <w:pPr>
        <w:keepNext w:val="0"/>
        <w:keepLines w:val="0"/>
        <w:pageBreakBefore w:val="0"/>
        <w:widowControl w:val="0"/>
        <w:kinsoku/>
        <w:wordWrap/>
        <w:overflowPunct/>
        <w:topLinePunct w:val="0"/>
        <w:autoSpaceDE w:val="0"/>
        <w:autoSpaceDN w:val="0"/>
        <w:bidi w:val="0"/>
        <w:adjustRightInd/>
        <w:snapToGrid/>
        <w:spacing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（7）吸水率： ≤1.0%</w:t>
      </w:r>
    </w:p>
    <w:p w14:paraId="46176040">
      <w:pPr>
        <w:keepNext w:val="0"/>
        <w:keepLines w:val="0"/>
        <w:pageBreakBefore w:val="0"/>
        <w:widowControl w:val="0"/>
        <w:tabs>
          <w:tab w:val="left" w:pos="942"/>
        </w:tabs>
        <w:kinsoku/>
        <w:wordWrap/>
        <w:overflowPunct/>
        <w:topLinePunct w:val="0"/>
        <w:autoSpaceDE w:val="0"/>
        <w:autoSpaceDN w:val="0"/>
        <w:bidi w:val="0"/>
        <w:adjustRightInd/>
        <w:snapToGrid/>
        <w:spacing w:before="0" w:beforeLines="100" w:line="360" w:lineRule="auto"/>
        <w:ind w:right="363"/>
        <w:jc w:val="left"/>
        <w:textAlignment w:val="auto"/>
        <w:rPr>
          <w:rFonts w:hint="default" w:ascii="宋体" w:hAnsi="宋体" w:eastAsia="宋体" w:cs="Times New Roman"/>
          <w:b/>
          <w:bCs/>
          <w:szCs w:val="21"/>
          <w:highlight w:val="none"/>
          <w:lang w:val="en-US" w:eastAsia="zh-CN"/>
        </w:rPr>
      </w:pPr>
      <w:r>
        <w:rPr>
          <w:rFonts w:hint="default" w:ascii="宋体" w:hAnsi="宋体" w:eastAsia="宋体" w:cs="Times New Roman"/>
          <w:b/>
          <w:bCs/>
          <w:szCs w:val="21"/>
          <w:highlight w:val="none"/>
          <w:lang w:val="en-US" w:eastAsia="zh-CN"/>
        </w:rPr>
        <w:t>三、质保期</w:t>
      </w:r>
      <w:r>
        <w:rPr>
          <w:rFonts w:hint="eastAsia" w:ascii="宋体" w:hAnsi="宋体" w:eastAsia="宋体" w:cs="Times New Roman"/>
          <w:b/>
          <w:bCs/>
          <w:szCs w:val="21"/>
          <w:highlight w:val="none"/>
          <w:lang w:val="en-US" w:eastAsia="zh-CN"/>
        </w:rPr>
        <w:t>要求</w:t>
      </w:r>
    </w:p>
    <w:p w14:paraId="4F6273D1">
      <w:pPr>
        <w:keepNext w:val="0"/>
        <w:keepLines w:val="0"/>
        <w:pageBreakBefore w:val="0"/>
        <w:widowControl w:val="0"/>
        <w:kinsoku/>
        <w:wordWrap/>
        <w:overflowPunct/>
        <w:topLinePunct w:val="0"/>
        <w:autoSpaceDE w:val="0"/>
        <w:autoSpaceDN w:val="0"/>
        <w:bidi w:val="0"/>
        <w:adjustRightInd/>
        <w:snapToGrid/>
        <w:spacing w:before="0"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1、本项目采用分批次配送，每一批次货物单独验收，各批次货物质保期自该批次货物验收合格之日起计算，质保期 6 个月。</w:t>
      </w:r>
    </w:p>
    <w:p w14:paraId="05AEBD28">
      <w:pPr>
        <w:keepNext w:val="0"/>
        <w:keepLines w:val="0"/>
        <w:pageBreakBefore w:val="0"/>
        <w:widowControl w:val="0"/>
        <w:kinsoku/>
        <w:wordWrap/>
        <w:overflowPunct/>
        <w:topLinePunct w:val="0"/>
        <w:autoSpaceDE w:val="0"/>
        <w:autoSpaceDN w:val="0"/>
        <w:bidi w:val="0"/>
        <w:adjustRightInd/>
        <w:snapToGrid/>
        <w:spacing w:before="0"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2、质保范围：本身原材料、生产制造质量缺陷，如涂白剂结块失效、保温棉破损开洞、保温膜脆裂、产品规格厚度不达标等制造质量问题，中标人在接到采购人通知后 3 个工作日内免费更换合格产品并承担全部运杂费。</w:t>
      </w:r>
    </w:p>
    <w:p w14:paraId="0A3D144E">
      <w:pPr>
        <w:keepNext w:val="0"/>
        <w:keepLines w:val="0"/>
        <w:pageBreakBefore w:val="0"/>
        <w:widowControl w:val="0"/>
        <w:kinsoku/>
        <w:wordWrap/>
        <w:overflowPunct/>
        <w:topLinePunct w:val="0"/>
        <w:autoSpaceDE w:val="0"/>
        <w:autoSpaceDN w:val="0"/>
        <w:bidi w:val="0"/>
        <w:adjustRightInd/>
        <w:snapToGrid/>
        <w:spacing w:before="0"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3、下列情形不在质保范围：货物正常户外使用损耗、人为撕裂、尖锐物划破、外力损坏、储存不当造成的损坏，不属于产品本身制造质量问题，不予免费更换。</w:t>
      </w:r>
    </w:p>
    <w:p w14:paraId="7AAAF770">
      <w:pPr>
        <w:keepNext w:val="0"/>
        <w:keepLines w:val="0"/>
        <w:pageBreakBefore w:val="0"/>
        <w:widowControl w:val="0"/>
        <w:kinsoku/>
        <w:wordWrap/>
        <w:overflowPunct/>
        <w:topLinePunct w:val="0"/>
        <w:autoSpaceDE w:val="0"/>
        <w:autoSpaceDN w:val="0"/>
        <w:bidi w:val="0"/>
        <w:adjustRightInd/>
        <w:snapToGrid/>
        <w:spacing w:before="0"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4、质保期不受合同有效期约束，合同到期，但对应批次货物仍在质保期内的，中标人仍应履行质保义务。</w:t>
      </w:r>
    </w:p>
    <w:p w14:paraId="2D337C93">
      <w:pPr>
        <w:keepNext w:val="0"/>
        <w:keepLines w:val="0"/>
        <w:pageBreakBefore w:val="0"/>
        <w:widowControl w:val="0"/>
        <w:tabs>
          <w:tab w:val="left" w:pos="942"/>
        </w:tabs>
        <w:kinsoku/>
        <w:wordWrap/>
        <w:overflowPunct/>
        <w:topLinePunct w:val="0"/>
        <w:autoSpaceDE w:val="0"/>
        <w:autoSpaceDN w:val="0"/>
        <w:bidi w:val="0"/>
        <w:adjustRightInd/>
        <w:snapToGrid/>
        <w:spacing w:before="0" w:line="360" w:lineRule="auto"/>
        <w:ind w:right="0"/>
        <w:jc w:val="left"/>
        <w:textAlignment w:val="auto"/>
        <w:rPr>
          <w:rFonts w:hint="eastAsia"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四、报价要求</w:t>
      </w:r>
    </w:p>
    <w:p w14:paraId="4C2C9967">
      <w:pPr>
        <w:keepNext w:val="0"/>
        <w:keepLines w:val="0"/>
        <w:pageBreakBefore w:val="0"/>
        <w:widowControl w:val="0"/>
        <w:kinsoku/>
        <w:wordWrap/>
        <w:overflowPunct/>
        <w:topLinePunct w:val="0"/>
        <w:autoSpaceDE w:val="0"/>
        <w:autoSpaceDN w:val="0"/>
        <w:bidi w:val="0"/>
        <w:adjustRightInd/>
        <w:snapToGrid/>
        <w:spacing w:before="0" w:line="360" w:lineRule="auto"/>
        <w:ind w:right="0" w:firstLine="422"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b/>
          <w:bCs/>
          <w:kern w:val="0"/>
          <w:szCs w:val="21"/>
          <w:highlight w:val="none"/>
          <w:lang w:val="en-US" w:eastAsia="zh-CN" w:bidi="zh-CN"/>
        </w:rPr>
        <w:t>1、本项目为单价包干合同。供应商报价应包含货物材料费、包装费、运输费、装卸费、保险费、检测、税金以及分批次供货的全部风险等一切费用，采购人不再支付其他任何费用。</w:t>
      </w:r>
    </w:p>
    <w:p w14:paraId="3E4D78B4">
      <w:pPr>
        <w:keepNext w:val="0"/>
        <w:keepLines w:val="0"/>
        <w:pageBreakBefore w:val="0"/>
        <w:widowControl w:val="0"/>
        <w:kinsoku/>
        <w:wordWrap/>
        <w:overflowPunct/>
        <w:topLinePunct w:val="0"/>
        <w:autoSpaceDE w:val="0"/>
        <w:autoSpaceDN w:val="0"/>
        <w:bidi w:val="0"/>
        <w:adjustRightInd/>
        <w:snapToGrid/>
        <w:spacing w:before="0"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2、供应商须按采购清单逐项填报报价明细表，同时填报报价一览表；当报价明细表与报价一览表数据不一致时，以报价明细表为准；单价与数量乘积和合价不一致，以单价为准修正合价，小数点明显错位除外。</w:t>
      </w:r>
    </w:p>
    <w:p w14:paraId="28D39091">
      <w:pPr>
        <w:keepNext w:val="0"/>
        <w:keepLines w:val="0"/>
        <w:pageBreakBefore w:val="0"/>
        <w:widowControl w:val="0"/>
        <w:kinsoku/>
        <w:wordWrap/>
        <w:overflowPunct/>
        <w:topLinePunct w:val="0"/>
        <w:autoSpaceDE w:val="0"/>
        <w:autoSpaceDN w:val="0"/>
        <w:bidi w:val="0"/>
        <w:adjustRightInd/>
        <w:snapToGrid/>
        <w:spacing w:before="0"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3、本项目设置最高限价，供应商任意分项报价或总报价超出采购文件设定最高限价的，按无效响应处理。</w:t>
      </w:r>
    </w:p>
    <w:p w14:paraId="737F47FF">
      <w:pPr>
        <w:keepNext w:val="0"/>
        <w:keepLines w:val="0"/>
        <w:pageBreakBefore w:val="0"/>
        <w:widowControl w:val="0"/>
        <w:kinsoku/>
        <w:wordWrap/>
        <w:overflowPunct/>
        <w:topLinePunct w:val="0"/>
        <w:autoSpaceDE w:val="0"/>
        <w:autoSpaceDN w:val="0"/>
        <w:bidi w:val="0"/>
        <w:adjustRightInd/>
        <w:snapToGrid/>
        <w:spacing w:before="0" w:line="360" w:lineRule="auto"/>
        <w:ind w:right="0" w:firstLine="420" w:firstLineChars="200"/>
        <w:jc w:val="left"/>
        <w:textAlignment w:val="auto"/>
        <w:rPr>
          <w:rFonts w:hint="eastAsia" w:ascii="宋体" w:hAnsi="宋体" w:eastAsia="宋体" w:cs="宋体"/>
          <w:kern w:val="0"/>
          <w:szCs w:val="21"/>
          <w:highlight w:val="none"/>
          <w:lang w:val="en-US" w:eastAsia="zh-CN" w:bidi="zh-CN"/>
        </w:rPr>
      </w:pPr>
      <w:r>
        <w:rPr>
          <w:rFonts w:hint="eastAsia" w:ascii="宋体" w:hAnsi="宋体" w:eastAsia="宋体" w:cs="宋体"/>
          <w:kern w:val="0"/>
          <w:szCs w:val="21"/>
          <w:highlight w:val="none"/>
          <w:lang w:val="en-US" w:eastAsia="zh-CN" w:bidi="zh-CN"/>
        </w:rPr>
        <w:t>4、成交后供应商须向采购人开具合规的增值税专用发票。</w:t>
      </w:r>
    </w:p>
    <w:p w14:paraId="7671E1F2">
      <w:pPr>
        <w:keepNext w:val="0"/>
        <w:keepLines w:val="0"/>
        <w:pageBreakBefore w:val="0"/>
        <w:widowControl w:val="0"/>
        <w:kinsoku/>
        <w:wordWrap/>
        <w:overflowPunct/>
        <w:topLinePunct w:val="0"/>
        <w:autoSpaceDE w:val="0"/>
        <w:autoSpaceDN w:val="0"/>
        <w:bidi w:val="0"/>
        <w:adjustRightInd/>
        <w:snapToGrid/>
        <w:spacing w:before="0" w:line="360" w:lineRule="auto"/>
        <w:ind w:right="0" w:firstLine="420" w:firstLineChars="200"/>
        <w:jc w:val="left"/>
        <w:textAlignment w:val="auto"/>
        <w:rPr>
          <w:highlight w:val="none"/>
        </w:rPr>
      </w:pPr>
      <w:r>
        <w:rPr>
          <w:rFonts w:hint="eastAsia" w:ascii="宋体" w:hAnsi="宋体" w:eastAsia="宋体" w:cs="宋体"/>
          <w:kern w:val="0"/>
          <w:szCs w:val="21"/>
          <w:highlight w:val="none"/>
          <w:lang w:val="en-US" w:eastAsia="zh-CN" w:bidi="zh-CN"/>
        </w:rPr>
        <w:t>5、本项目为年度分批次按需供货，报价为固定单价，合同履行周期内单价不予调整，按实际供货数量据实结算。</w:t>
      </w:r>
    </w:p>
    <w:p w14:paraId="715B35C5">
      <w:pPr>
        <w:keepNext w:val="0"/>
        <w:keepLines w:val="0"/>
        <w:pageBreakBefore w:val="0"/>
        <w:widowControl w:val="0"/>
        <w:tabs>
          <w:tab w:val="left" w:pos="942"/>
        </w:tabs>
        <w:kinsoku/>
        <w:wordWrap/>
        <w:overflowPunct/>
        <w:topLinePunct w:val="0"/>
        <w:autoSpaceDE w:val="0"/>
        <w:autoSpaceDN w:val="0"/>
        <w:bidi w:val="0"/>
        <w:adjustRightInd/>
        <w:snapToGrid/>
        <w:spacing w:before="0" w:line="360" w:lineRule="auto"/>
        <w:ind w:right="0"/>
        <w:jc w:val="left"/>
        <w:textAlignment w:val="auto"/>
        <w:rPr>
          <w:rFonts w:hint="default" w:ascii="宋体" w:hAnsi="宋体" w:eastAsia="宋体" w:cs="Times New Roman"/>
          <w:b/>
          <w:bCs/>
          <w:szCs w:val="21"/>
          <w:highlight w:val="none"/>
          <w:lang w:val="en-US" w:eastAsia="zh-CN"/>
        </w:rPr>
      </w:pPr>
      <w:r>
        <w:rPr>
          <w:rFonts w:hint="eastAsia" w:ascii="宋体" w:hAnsi="宋体" w:eastAsia="宋体" w:cs="Times New Roman"/>
          <w:b/>
          <w:bCs/>
          <w:szCs w:val="21"/>
          <w:highlight w:val="none"/>
          <w:lang w:val="en-US" w:eastAsia="zh-CN"/>
        </w:rPr>
        <w:t>五、其他要求</w:t>
      </w:r>
    </w:p>
    <w:p w14:paraId="7FE7D20C">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ascii="宋体" w:hAnsi="宋体" w:eastAsia="宋体" w:cs="宋体"/>
          <w:sz w:val="24"/>
          <w:szCs w:val="24"/>
          <w:highlight w:val="none"/>
        </w:rPr>
      </w:pPr>
      <w:r>
        <w:rPr>
          <w:rFonts w:hint="eastAsia" w:ascii="宋体" w:hAnsi="宋体" w:eastAsia="宋体" w:cs="宋体"/>
          <w:kern w:val="0"/>
          <w:szCs w:val="21"/>
          <w:highlight w:val="none"/>
          <w:lang w:val="en-US" w:eastAsia="zh-CN" w:bidi="zh-CN"/>
        </w:rPr>
        <w:t>采购人根据绿化防寒作业需要下达供货通知，中标供应商收到供货通知后5 个工作日内将对应批次货物送达采购人指定地点，完成卸货。本项目合同有效期 1 年，自合同生效之日起计算；合同终止前已下达未交付完成的订单，供应商仍须履约完毕。</w:t>
      </w:r>
    </w:p>
    <w:p w14:paraId="78A46CB1">
      <w:pPr>
        <w:numPr>
          <w:ilvl w:val="0"/>
          <w:numId w:val="0"/>
        </w:numPr>
        <w:rPr>
          <w:rFonts w:hint="eastAsia"/>
          <w:sz w:val="28"/>
          <w:szCs w:val="28"/>
          <w:highlight w:val="none"/>
        </w:rPr>
      </w:pPr>
      <w:r>
        <w:rPr>
          <w:rFonts w:hint="eastAsia" w:ascii="华文中宋" w:hAnsi="华文中宋" w:eastAsia="华文中宋" w:cs="华文中宋"/>
          <w:b/>
          <w:bCs/>
          <w:kern w:val="44"/>
          <w:sz w:val="44"/>
          <w:szCs w:val="44"/>
          <w:highlight w:val="none"/>
        </w:rPr>
        <w:br w:type="page"/>
      </w:r>
    </w:p>
    <w:p w14:paraId="7E944EA7">
      <w:pPr>
        <w:keepNext/>
        <w:keepLines/>
        <w:tabs>
          <w:tab w:val="left" w:pos="0"/>
        </w:tabs>
        <w:autoSpaceDE w:val="0"/>
        <w:autoSpaceDN w:val="0"/>
        <w:adjustRightInd w:val="0"/>
        <w:spacing w:line="360" w:lineRule="auto"/>
        <w:jc w:val="center"/>
        <w:outlineLvl w:val="0"/>
        <w:rPr>
          <w:rFonts w:hint="eastAsia" w:ascii="华文中宋" w:hAnsi="华文中宋" w:eastAsia="微软雅黑" w:cs="华文中宋"/>
          <w:b/>
          <w:bCs/>
          <w:kern w:val="44"/>
          <w:sz w:val="44"/>
          <w:szCs w:val="44"/>
          <w:highlight w:val="none"/>
          <w:lang w:eastAsia="zh-CN"/>
        </w:rPr>
      </w:pPr>
      <w:bookmarkStart w:id="31" w:name="_Toc16699"/>
      <w:r>
        <w:rPr>
          <w:rFonts w:hint="eastAsia" w:ascii="华文中宋" w:hAnsi="华文中宋" w:eastAsia="华文中宋" w:cs="华文中宋"/>
          <w:b/>
          <w:bCs/>
          <w:kern w:val="44"/>
          <w:sz w:val="44"/>
          <w:szCs w:val="44"/>
          <w:highlight w:val="none"/>
        </w:rPr>
        <w:t>第</w:t>
      </w:r>
      <w:r>
        <w:rPr>
          <w:rFonts w:hint="eastAsia" w:ascii="华文中宋" w:hAnsi="华文中宋" w:eastAsia="华文中宋" w:cs="华文中宋"/>
          <w:b/>
          <w:bCs/>
          <w:kern w:val="44"/>
          <w:sz w:val="44"/>
          <w:szCs w:val="44"/>
          <w:highlight w:val="none"/>
          <w:lang w:val="en-US" w:eastAsia="zh-CN"/>
        </w:rPr>
        <w:t>四</w:t>
      </w:r>
      <w:r>
        <w:rPr>
          <w:rFonts w:hint="eastAsia" w:ascii="华文中宋" w:hAnsi="华文中宋" w:eastAsia="华文中宋" w:cs="华文中宋"/>
          <w:b/>
          <w:bCs/>
          <w:kern w:val="44"/>
          <w:sz w:val="44"/>
          <w:szCs w:val="44"/>
          <w:highlight w:val="none"/>
        </w:rPr>
        <w:t>章</w:t>
      </w:r>
      <w:r>
        <w:rPr>
          <w:rFonts w:hint="eastAsia" w:ascii="华文中宋" w:hAnsi="华文中宋" w:eastAsia="华文中宋" w:cs="华文中宋"/>
          <w:b/>
          <w:bCs/>
          <w:kern w:val="44"/>
          <w:sz w:val="44"/>
          <w:szCs w:val="44"/>
          <w:highlight w:val="none"/>
          <w:lang w:val="en-US" w:eastAsia="zh-CN"/>
        </w:rPr>
        <w:t xml:space="preserve"> </w:t>
      </w:r>
      <w:r>
        <w:rPr>
          <w:rFonts w:hint="eastAsia" w:ascii="华文中宋" w:hAnsi="华文中宋" w:eastAsia="华文中宋" w:cs="华文中宋"/>
          <w:b/>
          <w:bCs/>
          <w:kern w:val="44"/>
          <w:sz w:val="44"/>
          <w:szCs w:val="44"/>
          <w:highlight w:val="none"/>
        </w:rPr>
        <w:t>评审方法和标准</w:t>
      </w:r>
      <w:bookmarkEnd w:id="30"/>
      <w:bookmarkEnd w:id="31"/>
    </w:p>
    <w:p w14:paraId="120D43E4">
      <w:pPr>
        <w:keepNext/>
        <w:keepLines/>
        <w:pageBreakBefore w:val="0"/>
        <w:widowControl w:val="0"/>
        <w:kinsoku/>
        <w:wordWrap/>
        <w:overflowPunct/>
        <w:topLinePunct w:val="0"/>
        <w:autoSpaceDE/>
        <w:autoSpaceDN/>
        <w:bidi w:val="0"/>
        <w:adjustRightInd/>
        <w:snapToGrid/>
        <w:spacing w:line="560" w:lineRule="exact"/>
        <w:ind w:left="669"/>
        <w:textAlignment w:val="auto"/>
        <w:outlineLvl w:val="2"/>
        <w:rPr>
          <w:rFonts w:ascii="宋体" w:hAnsi="宋体" w:eastAsia="宋体" w:cs="Times New Roman"/>
          <w:b/>
          <w:bCs/>
          <w:szCs w:val="21"/>
          <w:highlight w:val="none"/>
        </w:rPr>
      </w:pPr>
      <w:r>
        <w:rPr>
          <w:rFonts w:ascii="宋体" w:hAnsi="宋体" w:eastAsia="宋体" w:cs="Times New Roman"/>
          <w:b/>
          <w:bCs/>
          <w:szCs w:val="21"/>
          <w:highlight w:val="none"/>
        </w:rPr>
        <w:t>一、总则</w:t>
      </w:r>
    </w:p>
    <w:p w14:paraId="74C8FEC7">
      <w:pPr>
        <w:keepNext w:val="0"/>
        <w:keepLines w:val="0"/>
        <w:pageBreakBefore w:val="0"/>
        <w:widowControl w:val="0"/>
        <w:kinsoku/>
        <w:wordWrap/>
        <w:overflowPunct/>
        <w:topLinePunct w:val="0"/>
        <w:autoSpaceDE w:val="0"/>
        <w:autoSpaceDN w:val="0"/>
        <w:bidi w:val="0"/>
        <w:adjustRightInd/>
        <w:snapToGrid/>
        <w:spacing w:line="560" w:lineRule="exact"/>
        <w:ind w:left="675" w:right="130" w:hanging="6"/>
        <w:jc w:val="left"/>
        <w:textAlignment w:val="auto"/>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本项目将按照</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通知书第二章 供应商须知的相关要求及本章的规定评审。</w:t>
      </w:r>
    </w:p>
    <w:p w14:paraId="243DA379">
      <w:pPr>
        <w:keepNext w:val="0"/>
        <w:keepLines w:val="0"/>
        <w:pageBreakBefore w:val="0"/>
        <w:widowControl w:val="0"/>
        <w:kinsoku/>
        <w:wordWrap/>
        <w:overflowPunct/>
        <w:topLinePunct w:val="0"/>
        <w:autoSpaceDE w:val="0"/>
        <w:autoSpaceDN w:val="0"/>
        <w:bidi w:val="0"/>
        <w:adjustRightInd/>
        <w:snapToGrid/>
        <w:spacing w:line="560" w:lineRule="exact"/>
        <w:ind w:left="675" w:right="130" w:hanging="6"/>
        <w:jc w:val="left"/>
        <w:textAlignment w:val="auto"/>
        <w:rPr>
          <w:rFonts w:ascii="宋体" w:hAnsi="宋体" w:eastAsia="宋体" w:cs="宋体"/>
          <w:b/>
          <w:kern w:val="0"/>
          <w:szCs w:val="21"/>
          <w:highlight w:val="none"/>
          <w:lang w:val="zh-CN" w:bidi="zh-CN"/>
        </w:rPr>
      </w:pPr>
      <w:r>
        <w:rPr>
          <w:rFonts w:ascii="宋体" w:hAnsi="宋体" w:eastAsia="宋体" w:cs="宋体"/>
          <w:b/>
          <w:kern w:val="0"/>
          <w:szCs w:val="21"/>
          <w:highlight w:val="none"/>
          <w:lang w:val="zh-CN" w:bidi="zh-CN"/>
        </w:rPr>
        <w:t>二、评审方法</w:t>
      </w:r>
    </w:p>
    <w:p w14:paraId="1A165327">
      <w:pPr>
        <w:autoSpaceDE w:val="0"/>
        <w:autoSpaceDN w:val="0"/>
        <w:spacing w:before="5" w:after="6" w:line="360" w:lineRule="auto"/>
        <w:ind w:left="234" w:right="297" w:firstLine="434"/>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小组对通过供应商的响应文件进行评审，以确定其是否满足</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通知书的实质性要求。评审表如下：</w:t>
      </w:r>
    </w:p>
    <w:tbl>
      <w:tblPr>
        <w:tblStyle w:val="22"/>
        <w:tblW w:w="0" w:type="auto"/>
        <w:tblInd w:w="4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1654"/>
        <w:gridCol w:w="2258"/>
        <w:gridCol w:w="3869"/>
      </w:tblGrid>
      <w:tr w14:paraId="70377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blHeader/>
        </w:trPr>
        <w:tc>
          <w:tcPr>
            <w:tcW w:w="8496" w:type="dxa"/>
            <w:gridSpan w:val="4"/>
            <w:noWrap w:val="0"/>
            <w:vAlign w:val="center"/>
          </w:tcPr>
          <w:p w14:paraId="2B79CBCF">
            <w:pPr>
              <w:pStyle w:val="41"/>
              <w:keepNext w:val="0"/>
              <w:keepLines w:val="0"/>
              <w:pageBreakBefore w:val="0"/>
              <w:widowControl w:val="0"/>
              <w:kinsoku/>
              <w:wordWrap/>
              <w:overflowPunct/>
              <w:topLinePunct w:val="0"/>
              <w:bidi w:val="0"/>
              <w:adjustRightInd/>
              <w:snapToGrid/>
              <w:spacing w:before="26" w:line="240" w:lineRule="auto"/>
              <w:ind w:left="3870" w:right="3853"/>
              <w:jc w:val="left"/>
              <w:textAlignment w:val="auto"/>
              <w:rPr>
                <w:b/>
                <w:sz w:val="21"/>
                <w:szCs w:val="21"/>
                <w:highlight w:val="none"/>
                <w:lang w:eastAsia="en-US"/>
              </w:rPr>
            </w:pPr>
            <w:r>
              <w:rPr>
                <w:b/>
                <w:sz w:val="21"/>
                <w:szCs w:val="21"/>
                <w:highlight w:val="none"/>
                <w:lang w:eastAsia="en-US"/>
              </w:rPr>
              <w:t>初审表</w:t>
            </w:r>
          </w:p>
        </w:tc>
      </w:tr>
      <w:tr w14:paraId="402BE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blHeader/>
        </w:trPr>
        <w:tc>
          <w:tcPr>
            <w:tcW w:w="715" w:type="dxa"/>
            <w:noWrap w:val="0"/>
            <w:vAlign w:val="center"/>
          </w:tcPr>
          <w:p w14:paraId="4DECBC4E">
            <w:pPr>
              <w:pStyle w:val="41"/>
              <w:keepNext w:val="0"/>
              <w:keepLines w:val="0"/>
              <w:pageBreakBefore w:val="0"/>
              <w:widowControl w:val="0"/>
              <w:kinsoku/>
              <w:wordWrap/>
              <w:overflowPunct/>
              <w:topLinePunct w:val="0"/>
              <w:bidi w:val="0"/>
              <w:adjustRightInd/>
              <w:snapToGrid/>
              <w:spacing w:line="240" w:lineRule="auto"/>
              <w:ind w:left="102" w:right="83"/>
              <w:jc w:val="center"/>
              <w:textAlignment w:val="auto"/>
              <w:rPr>
                <w:sz w:val="21"/>
                <w:szCs w:val="21"/>
                <w:highlight w:val="none"/>
                <w:lang w:eastAsia="en-US"/>
              </w:rPr>
            </w:pPr>
            <w:r>
              <w:rPr>
                <w:sz w:val="21"/>
                <w:szCs w:val="21"/>
                <w:highlight w:val="none"/>
                <w:lang w:eastAsia="en-US"/>
              </w:rPr>
              <w:t>序号</w:t>
            </w:r>
          </w:p>
        </w:tc>
        <w:tc>
          <w:tcPr>
            <w:tcW w:w="1654" w:type="dxa"/>
            <w:noWrap w:val="0"/>
            <w:vAlign w:val="center"/>
          </w:tcPr>
          <w:p w14:paraId="4BDE2392">
            <w:pPr>
              <w:pStyle w:val="41"/>
              <w:keepNext w:val="0"/>
              <w:keepLines w:val="0"/>
              <w:pageBreakBefore w:val="0"/>
              <w:widowControl w:val="0"/>
              <w:kinsoku/>
              <w:wordWrap/>
              <w:overflowPunct/>
              <w:topLinePunct w:val="0"/>
              <w:bidi w:val="0"/>
              <w:adjustRightInd/>
              <w:snapToGrid/>
              <w:spacing w:line="240" w:lineRule="auto"/>
              <w:ind w:left="107" w:right="91"/>
              <w:jc w:val="center"/>
              <w:textAlignment w:val="auto"/>
              <w:rPr>
                <w:sz w:val="21"/>
                <w:szCs w:val="21"/>
                <w:highlight w:val="none"/>
                <w:lang w:eastAsia="en-US"/>
              </w:rPr>
            </w:pPr>
            <w:r>
              <w:rPr>
                <w:sz w:val="21"/>
                <w:szCs w:val="21"/>
                <w:highlight w:val="none"/>
                <w:lang w:eastAsia="en-US"/>
              </w:rPr>
              <w:t>评审指标</w:t>
            </w:r>
          </w:p>
        </w:tc>
        <w:tc>
          <w:tcPr>
            <w:tcW w:w="2258" w:type="dxa"/>
            <w:tcBorders>
              <w:right w:val="single" w:color="000000" w:sz="6" w:space="0"/>
            </w:tcBorders>
            <w:noWrap w:val="0"/>
            <w:vAlign w:val="center"/>
          </w:tcPr>
          <w:p w14:paraId="40C72C50">
            <w:pPr>
              <w:pStyle w:val="41"/>
              <w:keepNext w:val="0"/>
              <w:keepLines w:val="0"/>
              <w:pageBreakBefore w:val="0"/>
              <w:widowControl w:val="0"/>
              <w:kinsoku/>
              <w:wordWrap/>
              <w:overflowPunct/>
              <w:topLinePunct w:val="0"/>
              <w:bidi w:val="0"/>
              <w:adjustRightInd/>
              <w:snapToGrid/>
              <w:spacing w:line="240" w:lineRule="auto"/>
              <w:ind w:left="170" w:right="150"/>
              <w:jc w:val="left"/>
              <w:textAlignment w:val="auto"/>
              <w:rPr>
                <w:sz w:val="21"/>
                <w:szCs w:val="21"/>
                <w:highlight w:val="none"/>
                <w:lang w:eastAsia="en-US"/>
              </w:rPr>
            </w:pPr>
            <w:r>
              <w:rPr>
                <w:sz w:val="21"/>
                <w:szCs w:val="21"/>
                <w:highlight w:val="none"/>
                <w:lang w:eastAsia="en-US"/>
              </w:rPr>
              <w:t>评审标准</w:t>
            </w:r>
          </w:p>
        </w:tc>
        <w:tc>
          <w:tcPr>
            <w:tcW w:w="3869" w:type="dxa"/>
            <w:tcBorders>
              <w:left w:val="single" w:color="000000" w:sz="6" w:space="0"/>
            </w:tcBorders>
            <w:noWrap w:val="0"/>
            <w:vAlign w:val="center"/>
          </w:tcPr>
          <w:p w14:paraId="50F788D2">
            <w:pPr>
              <w:pStyle w:val="41"/>
              <w:keepNext w:val="0"/>
              <w:keepLines w:val="0"/>
              <w:pageBreakBefore w:val="0"/>
              <w:widowControl w:val="0"/>
              <w:kinsoku/>
              <w:wordWrap/>
              <w:overflowPunct/>
              <w:topLinePunct w:val="0"/>
              <w:bidi w:val="0"/>
              <w:adjustRightInd/>
              <w:snapToGrid/>
              <w:spacing w:line="240" w:lineRule="auto"/>
              <w:ind w:left="1095"/>
              <w:jc w:val="left"/>
              <w:textAlignment w:val="auto"/>
              <w:rPr>
                <w:sz w:val="21"/>
                <w:szCs w:val="21"/>
                <w:highlight w:val="none"/>
                <w:lang w:eastAsia="en-US"/>
              </w:rPr>
            </w:pPr>
            <w:r>
              <w:rPr>
                <w:sz w:val="21"/>
                <w:szCs w:val="21"/>
                <w:highlight w:val="none"/>
                <w:lang w:eastAsia="en-US"/>
              </w:rPr>
              <w:t>格式及材料要求</w:t>
            </w:r>
          </w:p>
        </w:tc>
      </w:tr>
      <w:tr w14:paraId="1D177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5" w:hRule="atLeast"/>
        </w:trPr>
        <w:tc>
          <w:tcPr>
            <w:tcW w:w="715" w:type="dxa"/>
            <w:noWrap w:val="0"/>
            <w:vAlign w:val="center"/>
          </w:tcPr>
          <w:p w14:paraId="6EE34D33">
            <w:pPr>
              <w:pStyle w:val="41"/>
              <w:keepNext w:val="0"/>
              <w:keepLines w:val="0"/>
              <w:pageBreakBefore w:val="0"/>
              <w:widowControl w:val="0"/>
              <w:kinsoku/>
              <w:wordWrap/>
              <w:overflowPunct/>
              <w:topLinePunct w:val="0"/>
              <w:bidi w:val="0"/>
              <w:adjustRightInd/>
              <w:snapToGrid/>
              <w:spacing w:line="240" w:lineRule="auto"/>
              <w:ind w:left="19"/>
              <w:jc w:val="center"/>
              <w:textAlignment w:val="auto"/>
              <w:rPr>
                <w:sz w:val="21"/>
                <w:szCs w:val="21"/>
                <w:highlight w:val="none"/>
                <w:lang w:eastAsia="en-US"/>
              </w:rPr>
            </w:pPr>
            <w:r>
              <w:rPr>
                <w:sz w:val="21"/>
                <w:szCs w:val="21"/>
                <w:highlight w:val="none"/>
                <w:lang w:eastAsia="en-US"/>
              </w:rPr>
              <w:t>1</w:t>
            </w:r>
          </w:p>
        </w:tc>
        <w:tc>
          <w:tcPr>
            <w:tcW w:w="1654" w:type="dxa"/>
            <w:noWrap w:val="0"/>
            <w:vAlign w:val="center"/>
          </w:tcPr>
          <w:p w14:paraId="0050E848">
            <w:pPr>
              <w:pStyle w:val="41"/>
              <w:keepNext w:val="0"/>
              <w:keepLines w:val="0"/>
              <w:pageBreakBefore w:val="0"/>
              <w:widowControl w:val="0"/>
              <w:kinsoku/>
              <w:wordWrap/>
              <w:overflowPunct/>
              <w:topLinePunct w:val="0"/>
              <w:bidi w:val="0"/>
              <w:adjustRightInd/>
              <w:snapToGrid/>
              <w:spacing w:line="240" w:lineRule="auto"/>
              <w:ind w:left="107" w:right="91"/>
              <w:jc w:val="center"/>
              <w:textAlignment w:val="auto"/>
              <w:rPr>
                <w:sz w:val="21"/>
                <w:szCs w:val="21"/>
                <w:highlight w:val="none"/>
                <w:lang w:eastAsia="en-US"/>
              </w:rPr>
            </w:pPr>
            <w:r>
              <w:rPr>
                <w:sz w:val="21"/>
                <w:szCs w:val="21"/>
                <w:highlight w:val="none"/>
                <w:lang w:eastAsia="en-US"/>
              </w:rPr>
              <w:t>营业执照</w:t>
            </w:r>
          </w:p>
        </w:tc>
        <w:tc>
          <w:tcPr>
            <w:tcW w:w="2258" w:type="dxa"/>
            <w:tcBorders>
              <w:right w:val="single" w:color="000000" w:sz="6" w:space="0"/>
            </w:tcBorders>
            <w:noWrap w:val="0"/>
            <w:vAlign w:val="center"/>
          </w:tcPr>
          <w:p w14:paraId="5DEDA19E">
            <w:pPr>
              <w:pStyle w:val="41"/>
              <w:keepNext w:val="0"/>
              <w:keepLines w:val="0"/>
              <w:pageBreakBefore w:val="0"/>
              <w:widowControl w:val="0"/>
              <w:kinsoku/>
              <w:wordWrap/>
              <w:overflowPunct/>
              <w:topLinePunct w:val="0"/>
              <w:bidi w:val="0"/>
              <w:adjustRightInd/>
              <w:snapToGrid/>
              <w:spacing w:line="240" w:lineRule="auto"/>
              <w:ind w:left="170" w:right="150"/>
              <w:jc w:val="left"/>
              <w:textAlignment w:val="auto"/>
              <w:rPr>
                <w:rFonts w:hint="eastAsia" w:eastAsia="宋体"/>
                <w:sz w:val="21"/>
                <w:szCs w:val="21"/>
                <w:highlight w:val="none"/>
                <w:lang w:eastAsia="zh-CN"/>
              </w:rPr>
            </w:pPr>
            <w:r>
              <w:rPr>
                <w:sz w:val="21"/>
                <w:szCs w:val="21"/>
                <w:highlight w:val="none"/>
                <w:lang w:eastAsia="en-US"/>
              </w:rPr>
              <w:t>合法有效</w:t>
            </w:r>
          </w:p>
        </w:tc>
        <w:tc>
          <w:tcPr>
            <w:tcW w:w="3869" w:type="dxa"/>
            <w:vMerge w:val="restart"/>
            <w:tcBorders>
              <w:left w:val="single" w:color="000000" w:sz="6" w:space="0"/>
            </w:tcBorders>
            <w:noWrap w:val="0"/>
            <w:vAlign w:val="center"/>
          </w:tcPr>
          <w:p w14:paraId="3724ACDC">
            <w:pPr>
              <w:pStyle w:val="41"/>
              <w:keepNext w:val="0"/>
              <w:keepLines w:val="0"/>
              <w:pageBreakBefore w:val="0"/>
              <w:widowControl w:val="0"/>
              <w:kinsoku/>
              <w:wordWrap/>
              <w:overflowPunct/>
              <w:topLinePunct w:val="0"/>
              <w:bidi w:val="0"/>
              <w:adjustRightInd/>
              <w:snapToGrid/>
              <w:spacing w:line="240" w:lineRule="auto"/>
              <w:ind w:left="106" w:right="148"/>
              <w:jc w:val="left"/>
              <w:textAlignment w:val="auto"/>
              <w:rPr>
                <w:sz w:val="21"/>
                <w:szCs w:val="21"/>
                <w:highlight w:val="none"/>
                <w:lang w:eastAsia="en-US"/>
              </w:rPr>
            </w:pPr>
            <w:r>
              <w:rPr>
                <w:sz w:val="21"/>
                <w:szCs w:val="21"/>
                <w:highlight w:val="none"/>
              </w:rPr>
              <w:t>提供有效的供应商营业执照（或事业单位法人登记证书）和税务登记证的扫描件，应完整的体现出营业执照（或事业单位法人登记证书） 和税务登记证的全部内容。已办理“三证合一”登记的，响应文件中提供营业执照（或事业单位法人登记证书）扫描件即可。</w:t>
            </w:r>
            <w:r>
              <w:rPr>
                <w:sz w:val="21"/>
                <w:szCs w:val="21"/>
                <w:highlight w:val="none"/>
                <w:lang w:eastAsia="en-US"/>
              </w:rPr>
              <w:t>联合体参加谈判的联合体各方均须提供。</w:t>
            </w:r>
          </w:p>
        </w:tc>
      </w:tr>
      <w:tr w14:paraId="7CB5B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3" w:hRule="atLeast"/>
        </w:trPr>
        <w:tc>
          <w:tcPr>
            <w:tcW w:w="715" w:type="dxa"/>
            <w:noWrap w:val="0"/>
            <w:vAlign w:val="center"/>
          </w:tcPr>
          <w:p w14:paraId="54AA1C0B">
            <w:pPr>
              <w:pStyle w:val="41"/>
              <w:keepNext w:val="0"/>
              <w:keepLines w:val="0"/>
              <w:pageBreakBefore w:val="0"/>
              <w:widowControl w:val="0"/>
              <w:kinsoku/>
              <w:wordWrap/>
              <w:overflowPunct/>
              <w:topLinePunct w:val="0"/>
              <w:bidi w:val="0"/>
              <w:adjustRightInd/>
              <w:snapToGrid/>
              <w:spacing w:line="240" w:lineRule="auto"/>
              <w:ind w:left="19"/>
              <w:jc w:val="center"/>
              <w:textAlignment w:val="auto"/>
              <w:rPr>
                <w:sz w:val="21"/>
                <w:szCs w:val="21"/>
                <w:highlight w:val="none"/>
                <w:lang w:eastAsia="en-US"/>
              </w:rPr>
            </w:pPr>
            <w:r>
              <w:rPr>
                <w:sz w:val="21"/>
                <w:szCs w:val="21"/>
                <w:highlight w:val="none"/>
                <w:lang w:eastAsia="en-US"/>
              </w:rPr>
              <w:t>2</w:t>
            </w:r>
          </w:p>
        </w:tc>
        <w:tc>
          <w:tcPr>
            <w:tcW w:w="1654" w:type="dxa"/>
            <w:noWrap w:val="0"/>
            <w:vAlign w:val="center"/>
          </w:tcPr>
          <w:p w14:paraId="7E0291DE">
            <w:pPr>
              <w:pStyle w:val="41"/>
              <w:keepNext w:val="0"/>
              <w:keepLines w:val="0"/>
              <w:pageBreakBefore w:val="0"/>
              <w:widowControl w:val="0"/>
              <w:kinsoku/>
              <w:wordWrap/>
              <w:overflowPunct/>
              <w:topLinePunct w:val="0"/>
              <w:bidi w:val="0"/>
              <w:adjustRightInd/>
              <w:snapToGrid/>
              <w:spacing w:line="240" w:lineRule="auto"/>
              <w:ind w:left="107" w:right="91"/>
              <w:jc w:val="center"/>
              <w:textAlignment w:val="auto"/>
              <w:rPr>
                <w:sz w:val="21"/>
                <w:szCs w:val="21"/>
                <w:highlight w:val="none"/>
                <w:lang w:eastAsia="en-US"/>
              </w:rPr>
            </w:pPr>
            <w:r>
              <w:rPr>
                <w:sz w:val="21"/>
                <w:szCs w:val="21"/>
                <w:highlight w:val="none"/>
                <w:lang w:eastAsia="en-US"/>
              </w:rPr>
              <w:t>税务登记证</w:t>
            </w:r>
          </w:p>
        </w:tc>
        <w:tc>
          <w:tcPr>
            <w:tcW w:w="2258" w:type="dxa"/>
            <w:tcBorders>
              <w:right w:val="single" w:color="000000" w:sz="6" w:space="0"/>
            </w:tcBorders>
            <w:noWrap w:val="0"/>
            <w:vAlign w:val="center"/>
          </w:tcPr>
          <w:p w14:paraId="4DBBBDF5">
            <w:pPr>
              <w:pStyle w:val="41"/>
              <w:keepNext w:val="0"/>
              <w:keepLines w:val="0"/>
              <w:pageBreakBefore w:val="0"/>
              <w:widowControl w:val="0"/>
              <w:kinsoku/>
              <w:wordWrap/>
              <w:overflowPunct/>
              <w:topLinePunct w:val="0"/>
              <w:bidi w:val="0"/>
              <w:adjustRightInd/>
              <w:snapToGrid/>
              <w:spacing w:line="240" w:lineRule="auto"/>
              <w:ind w:left="170" w:right="150"/>
              <w:jc w:val="left"/>
              <w:textAlignment w:val="auto"/>
              <w:rPr>
                <w:sz w:val="21"/>
                <w:szCs w:val="21"/>
                <w:highlight w:val="none"/>
                <w:lang w:eastAsia="en-US"/>
              </w:rPr>
            </w:pPr>
            <w:r>
              <w:rPr>
                <w:sz w:val="21"/>
                <w:szCs w:val="21"/>
                <w:highlight w:val="none"/>
                <w:lang w:eastAsia="en-US"/>
              </w:rPr>
              <w:t>合法有效</w:t>
            </w:r>
          </w:p>
        </w:tc>
        <w:tc>
          <w:tcPr>
            <w:tcW w:w="3869" w:type="dxa"/>
            <w:vMerge w:val="continue"/>
            <w:tcBorders>
              <w:top w:val="nil"/>
              <w:left w:val="single" w:color="000000" w:sz="6" w:space="0"/>
            </w:tcBorders>
            <w:noWrap w:val="0"/>
            <w:vAlign w:val="center"/>
          </w:tcPr>
          <w:p w14:paraId="40A4F27D">
            <w:pPr>
              <w:keepNext w:val="0"/>
              <w:keepLines w:val="0"/>
              <w:pageBreakBefore w:val="0"/>
              <w:widowControl w:val="0"/>
              <w:kinsoku/>
              <w:wordWrap/>
              <w:overflowPunct/>
              <w:topLinePunct w:val="0"/>
              <w:bidi w:val="0"/>
              <w:adjustRightInd/>
              <w:snapToGrid/>
              <w:spacing w:line="240" w:lineRule="auto"/>
              <w:jc w:val="left"/>
              <w:textAlignment w:val="auto"/>
              <w:rPr>
                <w:sz w:val="21"/>
                <w:szCs w:val="21"/>
                <w:highlight w:val="none"/>
                <w:lang w:eastAsia="en-US"/>
              </w:rPr>
            </w:pPr>
          </w:p>
        </w:tc>
      </w:tr>
      <w:tr w14:paraId="282C2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4" w:hRule="atLeast"/>
        </w:trPr>
        <w:tc>
          <w:tcPr>
            <w:tcW w:w="715" w:type="dxa"/>
            <w:noWrap w:val="0"/>
            <w:vAlign w:val="center"/>
          </w:tcPr>
          <w:p w14:paraId="05F03A33">
            <w:pPr>
              <w:pStyle w:val="41"/>
              <w:keepNext w:val="0"/>
              <w:keepLines w:val="0"/>
              <w:pageBreakBefore w:val="0"/>
              <w:widowControl w:val="0"/>
              <w:kinsoku/>
              <w:wordWrap/>
              <w:overflowPunct/>
              <w:topLinePunct w:val="0"/>
              <w:bidi w:val="0"/>
              <w:adjustRightInd/>
              <w:snapToGrid/>
              <w:spacing w:line="240" w:lineRule="auto"/>
              <w:ind w:left="19"/>
              <w:jc w:val="center"/>
              <w:textAlignment w:val="auto"/>
              <w:rPr>
                <w:rFonts w:hint="eastAsia" w:eastAsia="宋体"/>
                <w:sz w:val="21"/>
                <w:szCs w:val="21"/>
                <w:highlight w:val="none"/>
                <w:lang w:eastAsia="zh-CN"/>
              </w:rPr>
            </w:pPr>
            <w:r>
              <w:rPr>
                <w:rFonts w:hint="eastAsia"/>
                <w:sz w:val="21"/>
                <w:szCs w:val="21"/>
                <w:highlight w:val="none"/>
                <w:lang w:val="en-US" w:eastAsia="zh-CN"/>
              </w:rPr>
              <w:t>3</w:t>
            </w:r>
          </w:p>
        </w:tc>
        <w:tc>
          <w:tcPr>
            <w:tcW w:w="1654" w:type="dxa"/>
            <w:noWrap w:val="0"/>
            <w:vAlign w:val="center"/>
          </w:tcPr>
          <w:p w14:paraId="4AED20E0">
            <w:pPr>
              <w:pStyle w:val="41"/>
              <w:keepNext w:val="0"/>
              <w:keepLines w:val="0"/>
              <w:pageBreakBefore w:val="0"/>
              <w:widowControl w:val="0"/>
              <w:kinsoku/>
              <w:wordWrap/>
              <w:overflowPunct/>
              <w:topLinePunct w:val="0"/>
              <w:bidi w:val="0"/>
              <w:adjustRightInd/>
              <w:snapToGrid/>
              <w:spacing w:line="240" w:lineRule="auto"/>
              <w:ind w:left="110" w:right="91"/>
              <w:jc w:val="center"/>
              <w:textAlignment w:val="auto"/>
              <w:rPr>
                <w:sz w:val="21"/>
                <w:szCs w:val="21"/>
                <w:highlight w:val="none"/>
              </w:rPr>
            </w:pPr>
            <w:r>
              <w:rPr>
                <w:sz w:val="21"/>
                <w:szCs w:val="21"/>
                <w:highlight w:val="none"/>
              </w:rPr>
              <w:t>无重大违法记录声明函、无不良信用记录声明函</w:t>
            </w:r>
          </w:p>
        </w:tc>
        <w:tc>
          <w:tcPr>
            <w:tcW w:w="2258" w:type="dxa"/>
            <w:tcBorders>
              <w:right w:val="single" w:color="000000" w:sz="6" w:space="0"/>
            </w:tcBorders>
            <w:noWrap w:val="0"/>
            <w:vAlign w:val="center"/>
          </w:tcPr>
          <w:p w14:paraId="540871F4">
            <w:pPr>
              <w:pStyle w:val="41"/>
              <w:keepNext w:val="0"/>
              <w:keepLines w:val="0"/>
              <w:pageBreakBefore w:val="0"/>
              <w:widowControl w:val="0"/>
              <w:kinsoku/>
              <w:wordWrap/>
              <w:overflowPunct/>
              <w:topLinePunct w:val="0"/>
              <w:bidi w:val="0"/>
              <w:adjustRightInd/>
              <w:snapToGrid/>
              <w:spacing w:before="1" w:line="240" w:lineRule="auto"/>
              <w:ind w:left="172" w:right="83" w:hanging="68"/>
              <w:jc w:val="left"/>
              <w:textAlignment w:val="auto"/>
              <w:rPr>
                <w:rFonts w:hint="eastAsia" w:eastAsia="宋体"/>
                <w:sz w:val="21"/>
                <w:szCs w:val="21"/>
                <w:highlight w:val="none"/>
                <w:lang w:eastAsia="zh-CN"/>
              </w:rPr>
            </w:pPr>
            <w:r>
              <w:rPr>
                <w:sz w:val="21"/>
                <w:szCs w:val="21"/>
                <w:highlight w:val="none"/>
              </w:rPr>
              <w:t>格式、填写要求符合谈判文件规定并加盖供应商</w:t>
            </w:r>
            <w:r>
              <w:rPr>
                <w:rFonts w:hint="eastAsia"/>
                <w:sz w:val="21"/>
                <w:szCs w:val="21"/>
                <w:highlight w:val="none"/>
                <w:lang w:val="en-US" w:eastAsia="zh-CN"/>
              </w:rPr>
              <w:t>公章</w:t>
            </w:r>
          </w:p>
        </w:tc>
        <w:tc>
          <w:tcPr>
            <w:tcW w:w="3869" w:type="dxa"/>
            <w:tcBorders>
              <w:left w:val="single" w:color="000000" w:sz="6" w:space="0"/>
            </w:tcBorders>
            <w:noWrap w:val="0"/>
            <w:vAlign w:val="center"/>
          </w:tcPr>
          <w:p w14:paraId="2E40A021">
            <w:pPr>
              <w:pStyle w:val="41"/>
              <w:keepNext w:val="0"/>
              <w:keepLines w:val="0"/>
              <w:pageBreakBefore w:val="0"/>
              <w:widowControl w:val="0"/>
              <w:kinsoku/>
              <w:wordWrap/>
              <w:overflowPunct/>
              <w:topLinePunct w:val="0"/>
              <w:bidi w:val="0"/>
              <w:adjustRightInd/>
              <w:snapToGrid/>
              <w:spacing w:line="240" w:lineRule="auto"/>
              <w:ind w:left="106"/>
              <w:jc w:val="left"/>
              <w:textAlignment w:val="auto"/>
              <w:rPr>
                <w:sz w:val="21"/>
                <w:szCs w:val="21"/>
                <w:highlight w:val="none"/>
              </w:rPr>
            </w:pPr>
            <w:r>
              <w:rPr>
                <w:sz w:val="21"/>
                <w:szCs w:val="21"/>
                <w:highlight w:val="none"/>
              </w:rPr>
              <w:t>详见</w:t>
            </w:r>
            <w:r>
              <w:rPr>
                <w:rFonts w:hint="eastAsia"/>
                <w:sz w:val="21"/>
                <w:szCs w:val="21"/>
                <w:highlight w:val="none"/>
                <w:lang w:eastAsia="zh-CN"/>
              </w:rPr>
              <w:t>第</w:t>
            </w:r>
            <w:r>
              <w:rPr>
                <w:rFonts w:hint="eastAsia"/>
                <w:sz w:val="21"/>
                <w:szCs w:val="21"/>
                <w:highlight w:val="none"/>
                <w:lang w:val="en-US" w:eastAsia="zh-CN"/>
              </w:rPr>
              <w:t>六</w:t>
            </w:r>
            <w:r>
              <w:rPr>
                <w:rFonts w:hint="eastAsia"/>
                <w:sz w:val="21"/>
                <w:szCs w:val="21"/>
                <w:highlight w:val="none"/>
                <w:lang w:eastAsia="zh-CN"/>
              </w:rPr>
              <w:t>章</w:t>
            </w:r>
            <w:r>
              <w:rPr>
                <w:rFonts w:hint="eastAsia"/>
                <w:sz w:val="21"/>
                <w:szCs w:val="21"/>
                <w:highlight w:val="none"/>
                <w:lang w:val="en-US" w:eastAsia="zh-CN"/>
              </w:rPr>
              <w:t xml:space="preserve"> </w:t>
            </w:r>
            <w:r>
              <w:rPr>
                <w:sz w:val="21"/>
                <w:szCs w:val="21"/>
                <w:highlight w:val="none"/>
              </w:rPr>
              <w:t>响应文件格式四</w:t>
            </w:r>
          </w:p>
        </w:tc>
      </w:tr>
      <w:tr w14:paraId="64346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2" w:hRule="atLeast"/>
        </w:trPr>
        <w:tc>
          <w:tcPr>
            <w:tcW w:w="715" w:type="dxa"/>
            <w:noWrap w:val="0"/>
            <w:vAlign w:val="center"/>
          </w:tcPr>
          <w:p w14:paraId="0DD6C9EC">
            <w:pPr>
              <w:pStyle w:val="41"/>
              <w:keepNext w:val="0"/>
              <w:keepLines w:val="0"/>
              <w:pageBreakBefore w:val="0"/>
              <w:widowControl w:val="0"/>
              <w:kinsoku/>
              <w:wordWrap/>
              <w:overflowPunct/>
              <w:topLinePunct w:val="0"/>
              <w:bidi w:val="0"/>
              <w:adjustRightInd/>
              <w:snapToGrid/>
              <w:spacing w:before="184" w:line="240" w:lineRule="auto"/>
              <w:ind w:left="19"/>
              <w:jc w:val="center"/>
              <w:textAlignment w:val="auto"/>
              <w:rPr>
                <w:rFonts w:hint="eastAsia" w:eastAsia="宋体"/>
                <w:sz w:val="21"/>
                <w:szCs w:val="21"/>
                <w:highlight w:val="none"/>
                <w:lang w:eastAsia="zh-CN"/>
              </w:rPr>
            </w:pPr>
            <w:r>
              <w:rPr>
                <w:rFonts w:hint="eastAsia"/>
                <w:sz w:val="21"/>
                <w:szCs w:val="21"/>
                <w:highlight w:val="none"/>
                <w:lang w:val="en-US" w:eastAsia="zh-CN"/>
              </w:rPr>
              <w:t>4</w:t>
            </w:r>
          </w:p>
        </w:tc>
        <w:tc>
          <w:tcPr>
            <w:tcW w:w="1654" w:type="dxa"/>
            <w:noWrap w:val="0"/>
            <w:vAlign w:val="center"/>
          </w:tcPr>
          <w:p w14:paraId="729914B2">
            <w:pPr>
              <w:pStyle w:val="41"/>
              <w:keepNext w:val="0"/>
              <w:keepLines w:val="0"/>
              <w:pageBreakBefore w:val="0"/>
              <w:widowControl w:val="0"/>
              <w:kinsoku/>
              <w:wordWrap/>
              <w:overflowPunct/>
              <w:topLinePunct w:val="0"/>
              <w:bidi w:val="0"/>
              <w:adjustRightInd/>
              <w:snapToGrid/>
              <w:spacing w:before="160" w:line="240" w:lineRule="auto"/>
              <w:ind w:left="107" w:right="91"/>
              <w:jc w:val="center"/>
              <w:textAlignment w:val="auto"/>
              <w:rPr>
                <w:sz w:val="21"/>
                <w:szCs w:val="21"/>
                <w:highlight w:val="none"/>
                <w:lang w:eastAsia="en-US"/>
              </w:rPr>
            </w:pPr>
            <w:r>
              <w:rPr>
                <w:sz w:val="21"/>
                <w:szCs w:val="21"/>
                <w:highlight w:val="none"/>
                <w:lang w:eastAsia="en-US"/>
              </w:rPr>
              <w:t>谈判响应函</w:t>
            </w:r>
          </w:p>
        </w:tc>
        <w:tc>
          <w:tcPr>
            <w:tcW w:w="2258" w:type="dxa"/>
            <w:tcBorders>
              <w:right w:val="single" w:color="000000" w:sz="6" w:space="0"/>
            </w:tcBorders>
            <w:noWrap w:val="0"/>
            <w:vAlign w:val="center"/>
          </w:tcPr>
          <w:p w14:paraId="70158576">
            <w:pPr>
              <w:pStyle w:val="41"/>
              <w:keepNext w:val="0"/>
              <w:keepLines w:val="0"/>
              <w:pageBreakBefore w:val="0"/>
              <w:widowControl w:val="0"/>
              <w:kinsoku/>
              <w:wordWrap/>
              <w:overflowPunct/>
              <w:topLinePunct w:val="0"/>
              <w:bidi w:val="0"/>
              <w:adjustRightInd/>
              <w:snapToGrid/>
              <w:spacing w:line="240" w:lineRule="auto"/>
              <w:ind w:left="172" w:right="83" w:hanging="68"/>
              <w:jc w:val="left"/>
              <w:textAlignment w:val="auto"/>
              <w:rPr>
                <w:sz w:val="21"/>
                <w:szCs w:val="21"/>
                <w:highlight w:val="none"/>
              </w:rPr>
            </w:pPr>
            <w:r>
              <w:rPr>
                <w:sz w:val="21"/>
                <w:szCs w:val="21"/>
                <w:highlight w:val="none"/>
              </w:rPr>
              <w:t>格式、填写要求符合谈判文件规定并加盖供应商</w:t>
            </w:r>
            <w:r>
              <w:rPr>
                <w:rFonts w:hint="eastAsia"/>
                <w:sz w:val="21"/>
                <w:szCs w:val="21"/>
                <w:highlight w:val="none"/>
                <w:lang w:val="en-US" w:eastAsia="zh-CN"/>
              </w:rPr>
              <w:t>公章</w:t>
            </w:r>
          </w:p>
        </w:tc>
        <w:tc>
          <w:tcPr>
            <w:tcW w:w="3869" w:type="dxa"/>
            <w:tcBorders>
              <w:left w:val="single" w:color="000000" w:sz="6" w:space="0"/>
            </w:tcBorders>
            <w:noWrap w:val="0"/>
            <w:vAlign w:val="center"/>
          </w:tcPr>
          <w:p w14:paraId="247B5721">
            <w:pPr>
              <w:pStyle w:val="41"/>
              <w:keepNext w:val="0"/>
              <w:keepLines w:val="0"/>
              <w:pageBreakBefore w:val="0"/>
              <w:widowControl w:val="0"/>
              <w:kinsoku/>
              <w:wordWrap/>
              <w:overflowPunct/>
              <w:topLinePunct w:val="0"/>
              <w:bidi w:val="0"/>
              <w:adjustRightInd/>
              <w:snapToGrid/>
              <w:spacing w:before="184" w:line="240" w:lineRule="auto"/>
              <w:ind w:left="106"/>
              <w:jc w:val="left"/>
              <w:textAlignment w:val="auto"/>
              <w:rPr>
                <w:sz w:val="21"/>
                <w:szCs w:val="21"/>
                <w:highlight w:val="none"/>
              </w:rPr>
            </w:pPr>
            <w:r>
              <w:rPr>
                <w:sz w:val="21"/>
                <w:szCs w:val="21"/>
                <w:highlight w:val="none"/>
              </w:rPr>
              <w:t>详见</w:t>
            </w:r>
            <w:r>
              <w:rPr>
                <w:rFonts w:hint="eastAsia"/>
                <w:sz w:val="21"/>
                <w:szCs w:val="21"/>
                <w:highlight w:val="none"/>
                <w:lang w:eastAsia="zh-CN"/>
              </w:rPr>
              <w:t>第</w:t>
            </w:r>
            <w:r>
              <w:rPr>
                <w:rFonts w:hint="eastAsia"/>
                <w:sz w:val="21"/>
                <w:szCs w:val="21"/>
                <w:highlight w:val="none"/>
                <w:lang w:val="en-US" w:eastAsia="zh-CN"/>
              </w:rPr>
              <w:t>六</w:t>
            </w:r>
            <w:r>
              <w:rPr>
                <w:rFonts w:hint="eastAsia"/>
                <w:sz w:val="21"/>
                <w:szCs w:val="21"/>
                <w:highlight w:val="none"/>
                <w:lang w:eastAsia="zh-CN"/>
              </w:rPr>
              <w:t>章</w:t>
            </w:r>
            <w:r>
              <w:rPr>
                <w:rFonts w:hint="eastAsia"/>
                <w:sz w:val="21"/>
                <w:szCs w:val="21"/>
                <w:highlight w:val="none"/>
                <w:lang w:val="en-US" w:eastAsia="zh-CN"/>
              </w:rPr>
              <w:t xml:space="preserve"> </w:t>
            </w:r>
            <w:r>
              <w:rPr>
                <w:sz w:val="21"/>
                <w:szCs w:val="21"/>
                <w:highlight w:val="none"/>
              </w:rPr>
              <w:t>响应文件格式三</w:t>
            </w:r>
          </w:p>
        </w:tc>
      </w:tr>
      <w:tr w14:paraId="6B1ED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5" w:hRule="atLeast"/>
        </w:trPr>
        <w:tc>
          <w:tcPr>
            <w:tcW w:w="715" w:type="dxa"/>
            <w:noWrap w:val="0"/>
            <w:vAlign w:val="center"/>
          </w:tcPr>
          <w:p w14:paraId="226A9424">
            <w:pPr>
              <w:pStyle w:val="41"/>
              <w:keepNext w:val="0"/>
              <w:keepLines w:val="0"/>
              <w:pageBreakBefore w:val="0"/>
              <w:widowControl w:val="0"/>
              <w:kinsoku/>
              <w:wordWrap/>
              <w:overflowPunct/>
              <w:topLinePunct w:val="0"/>
              <w:bidi w:val="0"/>
              <w:adjustRightInd/>
              <w:snapToGrid/>
              <w:spacing w:before="23" w:line="240" w:lineRule="auto"/>
              <w:ind w:left="19"/>
              <w:jc w:val="center"/>
              <w:textAlignment w:val="auto"/>
              <w:rPr>
                <w:rFonts w:hint="eastAsia" w:eastAsia="宋体"/>
                <w:sz w:val="21"/>
                <w:szCs w:val="21"/>
                <w:highlight w:val="none"/>
                <w:lang w:eastAsia="zh-CN"/>
              </w:rPr>
            </w:pPr>
            <w:r>
              <w:rPr>
                <w:rFonts w:hint="eastAsia"/>
                <w:sz w:val="21"/>
                <w:szCs w:val="21"/>
                <w:highlight w:val="none"/>
                <w:lang w:val="en-US" w:eastAsia="zh-CN"/>
              </w:rPr>
              <w:t>5</w:t>
            </w:r>
          </w:p>
        </w:tc>
        <w:tc>
          <w:tcPr>
            <w:tcW w:w="1654" w:type="dxa"/>
            <w:noWrap w:val="0"/>
            <w:vAlign w:val="center"/>
          </w:tcPr>
          <w:p w14:paraId="0AC4ABC0">
            <w:pPr>
              <w:pStyle w:val="41"/>
              <w:keepNext w:val="0"/>
              <w:keepLines w:val="0"/>
              <w:pageBreakBefore w:val="0"/>
              <w:widowControl w:val="0"/>
              <w:kinsoku/>
              <w:wordWrap/>
              <w:overflowPunct/>
              <w:topLinePunct w:val="0"/>
              <w:bidi w:val="0"/>
              <w:adjustRightInd/>
              <w:snapToGrid/>
              <w:spacing w:line="240" w:lineRule="auto"/>
              <w:ind w:left="107" w:right="91"/>
              <w:jc w:val="center"/>
              <w:textAlignment w:val="auto"/>
              <w:rPr>
                <w:sz w:val="21"/>
                <w:szCs w:val="21"/>
                <w:highlight w:val="none"/>
                <w:lang w:eastAsia="en-US"/>
              </w:rPr>
            </w:pPr>
            <w:r>
              <w:rPr>
                <w:sz w:val="21"/>
                <w:szCs w:val="21"/>
                <w:highlight w:val="none"/>
                <w:lang w:eastAsia="en-US"/>
              </w:rPr>
              <w:t>授权书</w:t>
            </w:r>
          </w:p>
        </w:tc>
        <w:tc>
          <w:tcPr>
            <w:tcW w:w="2258" w:type="dxa"/>
            <w:tcBorders>
              <w:right w:val="single" w:color="000000" w:sz="6" w:space="0"/>
            </w:tcBorders>
            <w:noWrap w:val="0"/>
            <w:vAlign w:val="center"/>
          </w:tcPr>
          <w:p w14:paraId="207AF301">
            <w:pPr>
              <w:pStyle w:val="41"/>
              <w:keepNext w:val="0"/>
              <w:keepLines w:val="0"/>
              <w:pageBreakBefore w:val="0"/>
              <w:widowControl w:val="0"/>
              <w:kinsoku/>
              <w:wordWrap/>
              <w:overflowPunct/>
              <w:topLinePunct w:val="0"/>
              <w:bidi w:val="0"/>
              <w:adjustRightInd/>
              <w:snapToGrid/>
              <w:spacing w:before="23" w:line="240" w:lineRule="auto"/>
              <w:ind w:left="32" w:right="12"/>
              <w:jc w:val="left"/>
              <w:textAlignment w:val="auto"/>
              <w:rPr>
                <w:sz w:val="21"/>
                <w:szCs w:val="21"/>
                <w:highlight w:val="none"/>
              </w:rPr>
            </w:pPr>
            <w:r>
              <w:rPr>
                <w:sz w:val="21"/>
                <w:szCs w:val="21"/>
                <w:highlight w:val="none"/>
              </w:rPr>
              <w:t>格式、填写要求符合谈判文件规定并加盖供应商</w:t>
            </w:r>
            <w:r>
              <w:rPr>
                <w:rFonts w:hint="eastAsia"/>
                <w:sz w:val="21"/>
                <w:szCs w:val="21"/>
                <w:highlight w:val="none"/>
                <w:lang w:val="en-US" w:eastAsia="zh-CN"/>
              </w:rPr>
              <w:t>公章</w:t>
            </w:r>
          </w:p>
        </w:tc>
        <w:tc>
          <w:tcPr>
            <w:tcW w:w="3869" w:type="dxa"/>
            <w:tcBorders>
              <w:left w:val="single" w:color="000000" w:sz="6" w:space="0"/>
            </w:tcBorders>
            <w:noWrap w:val="0"/>
            <w:vAlign w:val="center"/>
          </w:tcPr>
          <w:p w14:paraId="697D3C97">
            <w:pPr>
              <w:pStyle w:val="41"/>
              <w:keepNext w:val="0"/>
              <w:keepLines w:val="0"/>
              <w:pageBreakBefore w:val="0"/>
              <w:widowControl w:val="0"/>
              <w:kinsoku/>
              <w:wordWrap/>
              <w:overflowPunct/>
              <w:topLinePunct w:val="0"/>
              <w:bidi w:val="0"/>
              <w:adjustRightInd/>
              <w:snapToGrid/>
              <w:spacing w:before="23" w:line="240" w:lineRule="auto"/>
              <w:ind w:left="106"/>
              <w:jc w:val="left"/>
              <w:textAlignment w:val="auto"/>
              <w:rPr>
                <w:sz w:val="21"/>
                <w:szCs w:val="21"/>
                <w:highlight w:val="none"/>
              </w:rPr>
            </w:pPr>
            <w:r>
              <w:rPr>
                <w:sz w:val="21"/>
                <w:szCs w:val="21"/>
                <w:highlight w:val="none"/>
              </w:rPr>
              <w:t>法定代表人参加谈判的无需此件，提供身份证明即可。详见</w:t>
            </w:r>
            <w:r>
              <w:rPr>
                <w:rFonts w:hint="eastAsia"/>
                <w:sz w:val="21"/>
                <w:szCs w:val="21"/>
                <w:highlight w:val="none"/>
                <w:lang w:eastAsia="zh-CN"/>
              </w:rPr>
              <w:t>第</w:t>
            </w:r>
            <w:r>
              <w:rPr>
                <w:rFonts w:hint="eastAsia"/>
                <w:sz w:val="21"/>
                <w:szCs w:val="21"/>
                <w:highlight w:val="none"/>
                <w:lang w:val="en-US" w:eastAsia="zh-CN"/>
              </w:rPr>
              <w:t>六</w:t>
            </w:r>
            <w:r>
              <w:rPr>
                <w:rFonts w:hint="eastAsia"/>
                <w:sz w:val="21"/>
                <w:szCs w:val="21"/>
                <w:highlight w:val="none"/>
                <w:lang w:eastAsia="zh-CN"/>
              </w:rPr>
              <w:t>章</w:t>
            </w:r>
            <w:r>
              <w:rPr>
                <w:rFonts w:hint="eastAsia"/>
                <w:sz w:val="21"/>
                <w:szCs w:val="21"/>
                <w:highlight w:val="none"/>
                <w:lang w:val="en-US" w:eastAsia="zh-CN"/>
              </w:rPr>
              <w:t xml:space="preserve"> </w:t>
            </w:r>
            <w:r>
              <w:rPr>
                <w:sz w:val="21"/>
                <w:szCs w:val="21"/>
                <w:highlight w:val="none"/>
              </w:rPr>
              <w:t>响应文件格式五</w:t>
            </w:r>
          </w:p>
        </w:tc>
      </w:tr>
      <w:tr w14:paraId="7D04A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1" w:hRule="atLeast"/>
        </w:trPr>
        <w:tc>
          <w:tcPr>
            <w:tcW w:w="715" w:type="dxa"/>
            <w:noWrap w:val="0"/>
            <w:vAlign w:val="center"/>
          </w:tcPr>
          <w:p w14:paraId="026442EA">
            <w:pPr>
              <w:pStyle w:val="41"/>
              <w:keepNext w:val="0"/>
              <w:keepLines w:val="0"/>
              <w:pageBreakBefore w:val="0"/>
              <w:widowControl w:val="0"/>
              <w:kinsoku/>
              <w:wordWrap/>
              <w:overflowPunct/>
              <w:topLinePunct w:val="0"/>
              <w:bidi w:val="0"/>
              <w:adjustRightInd/>
              <w:snapToGrid/>
              <w:spacing w:before="216" w:line="240" w:lineRule="auto"/>
              <w:ind w:left="19"/>
              <w:jc w:val="center"/>
              <w:textAlignment w:val="auto"/>
              <w:rPr>
                <w:rFonts w:hint="eastAsia" w:eastAsia="宋体"/>
                <w:sz w:val="21"/>
                <w:szCs w:val="21"/>
                <w:highlight w:val="none"/>
                <w:lang w:val="en-US" w:eastAsia="zh-CN"/>
              </w:rPr>
            </w:pPr>
            <w:r>
              <w:rPr>
                <w:rFonts w:hint="eastAsia"/>
                <w:sz w:val="21"/>
                <w:szCs w:val="21"/>
                <w:highlight w:val="none"/>
                <w:lang w:val="en-US" w:eastAsia="zh-CN"/>
              </w:rPr>
              <w:t>6</w:t>
            </w:r>
          </w:p>
        </w:tc>
        <w:tc>
          <w:tcPr>
            <w:tcW w:w="1654" w:type="dxa"/>
            <w:noWrap w:val="0"/>
            <w:vAlign w:val="center"/>
          </w:tcPr>
          <w:p w14:paraId="1BB9171C">
            <w:pPr>
              <w:pStyle w:val="41"/>
              <w:keepNext w:val="0"/>
              <w:keepLines w:val="0"/>
              <w:pageBreakBefore w:val="0"/>
              <w:widowControl w:val="0"/>
              <w:kinsoku/>
              <w:wordWrap/>
              <w:overflowPunct/>
              <w:topLinePunct w:val="0"/>
              <w:bidi w:val="0"/>
              <w:adjustRightInd/>
              <w:snapToGrid/>
              <w:spacing w:before="189" w:line="240" w:lineRule="auto"/>
              <w:ind w:left="107" w:right="91"/>
              <w:jc w:val="center"/>
              <w:textAlignment w:val="auto"/>
              <w:rPr>
                <w:sz w:val="21"/>
                <w:szCs w:val="21"/>
                <w:highlight w:val="none"/>
                <w:lang w:eastAsia="en-US"/>
              </w:rPr>
            </w:pPr>
            <w:r>
              <w:rPr>
                <w:sz w:val="21"/>
                <w:szCs w:val="21"/>
                <w:highlight w:val="none"/>
                <w:lang w:eastAsia="en-US"/>
              </w:rPr>
              <w:t>谈判报价</w:t>
            </w:r>
          </w:p>
        </w:tc>
        <w:tc>
          <w:tcPr>
            <w:tcW w:w="2258" w:type="dxa"/>
            <w:tcBorders>
              <w:right w:val="single" w:color="000000" w:sz="6" w:space="0"/>
            </w:tcBorders>
            <w:noWrap w:val="0"/>
            <w:vAlign w:val="center"/>
          </w:tcPr>
          <w:p w14:paraId="3A760BF5">
            <w:pPr>
              <w:pStyle w:val="41"/>
              <w:keepNext w:val="0"/>
              <w:keepLines w:val="0"/>
              <w:pageBreakBefore w:val="0"/>
              <w:widowControl w:val="0"/>
              <w:kinsoku/>
              <w:wordWrap/>
              <w:overflowPunct/>
              <w:topLinePunct w:val="0"/>
              <w:bidi w:val="0"/>
              <w:adjustRightInd/>
              <w:snapToGrid/>
              <w:spacing w:line="240" w:lineRule="auto"/>
              <w:ind w:left="141" w:right="121" w:firstLine="2"/>
              <w:jc w:val="left"/>
              <w:textAlignment w:val="auto"/>
              <w:rPr>
                <w:sz w:val="21"/>
                <w:szCs w:val="21"/>
                <w:highlight w:val="none"/>
              </w:rPr>
            </w:pPr>
            <w:r>
              <w:rPr>
                <w:sz w:val="21"/>
                <w:szCs w:val="21"/>
                <w:highlight w:val="none"/>
              </w:rPr>
              <w:t>符合谈判文件供应商须知正文第 12、22 条要求</w:t>
            </w:r>
          </w:p>
        </w:tc>
        <w:tc>
          <w:tcPr>
            <w:tcW w:w="3869" w:type="dxa"/>
            <w:tcBorders>
              <w:left w:val="single" w:color="000000" w:sz="6" w:space="0"/>
            </w:tcBorders>
            <w:noWrap w:val="0"/>
            <w:vAlign w:val="center"/>
          </w:tcPr>
          <w:p w14:paraId="712974E1">
            <w:pPr>
              <w:pStyle w:val="41"/>
              <w:keepNext w:val="0"/>
              <w:keepLines w:val="0"/>
              <w:pageBreakBefore w:val="0"/>
              <w:widowControl w:val="0"/>
              <w:kinsoku/>
              <w:wordWrap/>
              <w:overflowPunct/>
              <w:topLinePunct w:val="0"/>
              <w:bidi w:val="0"/>
              <w:adjustRightInd/>
              <w:snapToGrid/>
              <w:spacing w:before="216" w:line="240" w:lineRule="auto"/>
              <w:ind w:left="106"/>
              <w:jc w:val="left"/>
              <w:textAlignment w:val="auto"/>
              <w:rPr>
                <w:sz w:val="21"/>
                <w:szCs w:val="21"/>
                <w:highlight w:val="none"/>
              </w:rPr>
            </w:pPr>
            <w:r>
              <w:rPr>
                <w:sz w:val="21"/>
                <w:szCs w:val="21"/>
                <w:highlight w:val="none"/>
              </w:rPr>
              <w:t>详见</w:t>
            </w:r>
            <w:r>
              <w:rPr>
                <w:rFonts w:hint="eastAsia"/>
                <w:sz w:val="21"/>
                <w:szCs w:val="21"/>
                <w:highlight w:val="none"/>
                <w:lang w:eastAsia="zh-CN"/>
              </w:rPr>
              <w:t>第</w:t>
            </w:r>
            <w:r>
              <w:rPr>
                <w:rFonts w:hint="eastAsia"/>
                <w:sz w:val="21"/>
                <w:szCs w:val="21"/>
                <w:highlight w:val="none"/>
                <w:lang w:val="en-US" w:eastAsia="zh-CN"/>
              </w:rPr>
              <w:t>六</w:t>
            </w:r>
            <w:r>
              <w:rPr>
                <w:rFonts w:hint="eastAsia"/>
                <w:sz w:val="21"/>
                <w:szCs w:val="21"/>
                <w:highlight w:val="none"/>
                <w:lang w:eastAsia="zh-CN"/>
              </w:rPr>
              <w:t>章</w:t>
            </w:r>
            <w:r>
              <w:rPr>
                <w:rFonts w:hint="eastAsia"/>
                <w:sz w:val="21"/>
                <w:szCs w:val="21"/>
                <w:highlight w:val="none"/>
                <w:lang w:val="en-US" w:eastAsia="zh-CN"/>
              </w:rPr>
              <w:t xml:space="preserve"> </w:t>
            </w:r>
            <w:r>
              <w:rPr>
                <w:sz w:val="21"/>
                <w:szCs w:val="21"/>
                <w:highlight w:val="none"/>
              </w:rPr>
              <w:t>响应文件格式一、二</w:t>
            </w:r>
          </w:p>
        </w:tc>
      </w:tr>
      <w:tr w14:paraId="16079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0" w:hRule="atLeast"/>
        </w:trPr>
        <w:tc>
          <w:tcPr>
            <w:tcW w:w="715" w:type="dxa"/>
            <w:noWrap w:val="0"/>
            <w:vAlign w:val="center"/>
          </w:tcPr>
          <w:p w14:paraId="25D1F7FC">
            <w:pPr>
              <w:pStyle w:val="41"/>
              <w:keepNext w:val="0"/>
              <w:keepLines w:val="0"/>
              <w:pageBreakBefore w:val="0"/>
              <w:widowControl w:val="0"/>
              <w:kinsoku/>
              <w:wordWrap/>
              <w:overflowPunct/>
              <w:topLinePunct w:val="0"/>
              <w:bidi w:val="0"/>
              <w:adjustRightInd/>
              <w:snapToGrid/>
              <w:spacing w:before="175" w:line="240" w:lineRule="auto"/>
              <w:ind w:left="19"/>
              <w:jc w:val="center"/>
              <w:textAlignment w:val="auto"/>
              <w:rPr>
                <w:rFonts w:hint="default" w:eastAsia="宋体"/>
                <w:sz w:val="21"/>
                <w:szCs w:val="21"/>
                <w:highlight w:val="none"/>
                <w:lang w:val="en-US" w:eastAsia="zh-CN"/>
              </w:rPr>
            </w:pPr>
            <w:r>
              <w:rPr>
                <w:rFonts w:hint="eastAsia"/>
                <w:sz w:val="21"/>
                <w:szCs w:val="21"/>
                <w:highlight w:val="none"/>
                <w:lang w:val="en-US" w:eastAsia="zh-CN"/>
              </w:rPr>
              <w:t>7</w:t>
            </w:r>
          </w:p>
        </w:tc>
        <w:tc>
          <w:tcPr>
            <w:tcW w:w="1654" w:type="dxa"/>
            <w:noWrap w:val="0"/>
            <w:vAlign w:val="center"/>
          </w:tcPr>
          <w:p w14:paraId="2B78C7C5">
            <w:pPr>
              <w:pStyle w:val="41"/>
              <w:keepNext w:val="0"/>
              <w:keepLines w:val="0"/>
              <w:pageBreakBefore w:val="0"/>
              <w:widowControl w:val="0"/>
              <w:kinsoku/>
              <w:wordWrap/>
              <w:overflowPunct/>
              <w:topLinePunct w:val="0"/>
              <w:bidi w:val="0"/>
              <w:adjustRightInd/>
              <w:snapToGrid/>
              <w:spacing w:before="149" w:line="240" w:lineRule="auto"/>
              <w:ind w:left="90" w:right="74"/>
              <w:jc w:val="center"/>
              <w:textAlignment w:val="auto"/>
              <w:rPr>
                <w:sz w:val="21"/>
                <w:szCs w:val="21"/>
                <w:highlight w:val="none"/>
                <w:lang w:eastAsia="en-US"/>
              </w:rPr>
            </w:pPr>
            <w:r>
              <w:rPr>
                <w:sz w:val="21"/>
                <w:szCs w:val="21"/>
                <w:highlight w:val="none"/>
                <w:lang w:eastAsia="en-US"/>
              </w:rPr>
              <w:t>商务响应情况</w:t>
            </w:r>
          </w:p>
        </w:tc>
        <w:tc>
          <w:tcPr>
            <w:tcW w:w="2258" w:type="dxa"/>
            <w:tcBorders>
              <w:right w:val="single" w:color="000000" w:sz="6" w:space="0"/>
            </w:tcBorders>
            <w:noWrap w:val="0"/>
            <w:vAlign w:val="center"/>
          </w:tcPr>
          <w:p w14:paraId="761543DD">
            <w:pPr>
              <w:pStyle w:val="41"/>
              <w:keepNext w:val="0"/>
              <w:keepLines w:val="0"/>
              <w:pageBreakBefore w:val="0"/>
              <w:widowControl w:val="0"/>
              <w:kinsoku/>
              <w:wordWrap/>
              <w:overflowPunct/>
              <w:topLinePunct w:val="0"/>
              <w:bidi w:val="0"/>
              <w:adjustRightInd/>
              <w:snapToGrid/>
              <w:spacing w:line="240" w:lineRule="auto"/>
              <w:ind w:left="105" w:right="83"/>
              <w:jc w:val="left"/>
              <w:textAlignment w:val="auto"/>
              <w:rPr>
                <w:sz w:val="21"/>
                <w:szCs w:val="21"/>
                <w:highlight w:val="none"/>
              </w:rPr>
            </w:pPr>
            <w:r>
              <w:rPr>
                <w:sz w:val="21"/>
                <w:szCs w:val="21"/>
                <w:highlight w:val="none"/>
              </w:rPr>
              <w:t>符合谈判文件采购需求中付款方式、服务期限、服务地点的要求</w:t>
            </w:r>
          </w:p>
        </w:tc>
        <w:tc>
          <w:tcPr>
            <w:tcW w:w="3869" w:type="dxa"/>
            <w:tcBorders>
              <w:left w:val="single" w:color="000000" w:sz="6" w:space="0"/>
            </w:tcBorders>
            <w:noWrap w:val="0"/>
            <w:vAlign w:val="center"/>
          </w:tcPr>
          <w:p w14:paraId="1BCD957E">
            <w:pPr>
              <w:pStyle w:val="41"/>
              <w:keepNext w:val="0"/>
              <w:keepLines w:val="0"/>
              <w:pageBreakBefore w:val="0"/>
              <w:widowControl w:val="0"/>
              <w:kinsoku/>
              <w:wordWrap/>
              <w:overflowPunct/>
              <w:topLinePunct w:val="0"/>
              <w:bidi w:val="0"/>
              <w:adjustRightInd/>
              <w:snapToGrid/>
              <w:spacing w:before="175" w:line="240" w:lineRule="auto"/>
              <w:ind w:left="106"/>
              <w:jc w:val="left"/>
              <w:textAlignment w:val="auto"/>
              <w:rPr>
                <w:sz w:val="21"/>
                <w:szCs w:val="21"/>
                <w:highlight w:val="none"/>
              </w:rPr>
            </w:pPr>
            <w:r>
              <w:rPr>
                <w:sz w:val="21"/>
                <w:szCs w:val="21"/>
                <w:highlight w:val="none"/>
              </w:rPr>
              <w:t>详见</w:t>
            </w:r>
            <w:r>
              <w:rPr>
                <w:rFonts w:hint="eastAsia"/>
                <w:sz w:val="21"/>
                <w:szCs w:val="21"/>
                <w:highlight w:val="none"/>
                <w:lang w:eastAsia="zh-CN"/>
              </w:rPr>
              <w:t>第</w:t>
            </w:r>
            <w:r>
              <w:rPr>
                <w:rFonts w:hint="eastAsia"/>
                <w:sz w:val="21"/>
                <w:szCs w:val="21"/>
                <w:highlight w:val="none"/>
                <w:lang w:val="en-US" w:eastAsia="zh-CN"/>
              </w:rPr>
              <w:t>六</w:t>
            </w:r>
            <w:r>
              <w:rPr>
                <w:rFonts w:hint="eastAsia"/>
                <w:sz w:val="21"/>
                <w:szCs w:val="21"/>
                <w:highlight w:val="none"/>
                <w:lang w:eastAsia="zh-CN"/>
              </w:rPr>
              <w:t>章</w:t>
            </w:r>
            <w:r>
              <w:rPr>
                <w:rFonts w:hint="eastAsia"/>
                <w:sz w:val="21"/>
                <w:szCs w:val="21"/>
                <w:highlight w:val="none"/>
                <w:lang w:val="en-US" w:eastAsia="zh-CN"/>
              </w:rPr>
              <w:t xml:space="preserve"> </w:t>
            </w:r>
            <w:r>
              <w:rPr>
                <w:sz w:val="21"/>
                <w:szCs w:val="21"/>
                <w:highlight w:val="none"/>
              </w:rPr>
              <w:t>响应文件格式六</w:t>
            </w:r>
          </w:p>
        </w:tc>
      </w:tr>
      <w:tr w14:paraId="29AAB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7" w:hRule="atLeast"/>
        </w:trPr>
        <w:tc>
          <w:tcPr>
            <w:tcW w:w="715" w:type="dxa"/>
            <w:noWrap w:val="0"/>
            <w:vAlign w:val="center"/>
          </w:tcPr>
          <w:p w14:paraId="6EFDDD81">
            <w:pPr>
              <w:pStyle w:val="41"/>
              <w:keepNext w:val="0"/>
              <w:keepLines w:val="0"/>
              <w:pageBreakBefore w:val="0"/>
              <w:widowControl w:val="0"/>
              <w:kinsoku/>
              <w:wordWrap/>
              <w:overflowPunct/>
              <w:topLinePunct w:val="0"/>
              <w:bidi w:val="0"/>
              <w:adjustRightInd/>
              <w:snapToGrid/>
              <w:spacing w:line="240" w:lineRule="auto"/>
              <w:ind w:left="102" w:right="83"/>
              <w:jc w:val="center"/>
              <w:textAlignment w:val="auto"/>
              <w:rPr>
                <w:rFonts w:hint="default" w:eastAsia="宋体"/>
                <w:sz w:val="21"/>
                <w:szCs w:val="21"/>
                <w:highlight w:val="none"/>
                <w:lang w:val="en-US" w:eastAsia="zh-CN"/>
              </w:rPr>
            </w:pPr>
            <w:r>
              <w:rPr>
                <w:rFonts w:hint="eastAsia"/>
                <w:sz w:val="21"/>
                <w:szCs w:val="21"/>
                <w:highlight w:val="none"/>
                <w:lang w:val="en-US" w:eastAsia="zh-CN"/>
              </w:rPr>
              <w:t>8</w:t>
            </w:r>
          </w:p>
        </w:tc>
        <w:tc>
          <w:tcPr>
            <w:tcW w:w="1654" w:type="dxa"/>
            <w:noWrap w:val="0"/>
            <w:vAlign w:val="center"/>
          </w:tcPr>
          <w:p w14:paraId="610FEE98">
            <w:pPr>
              <w:pStyle w:val="41"/>
              <w:keepNext w:val="0"/>
              <w:keepLines w:val="0"/>
              <w:pageBreakBefore w:val="0"/>
              <w:widowControl w:val="0"/>
              <w:kinsoku/>
              <w:wordWrap/>
              <w:overflowPunct/>
              <w:topLinePunct w:val="0"/>
              <w:bidi w:val="0"/>
              <w:adjustRightInd/>
              <w:snapToGrid/>
              <w:spacing w:before="208" w:line="240" w:lineRule="auto"/>
              <w:ind w:left="107" w:right="91"/>
              <w:jc w:val="center"/>
              <w:textAlignment w:val="auto"/>
              <w:rPr>
                <w:sz w:val="21"/>
                <w:szCs w:val="21"/>
                <w:highlight w:val="none"/>
                <w:lang w:eastAsia="en-US"/>
              </w:rPr>
            </w:pPr>
            <w:r>
              <w:rPr>
                <w:sz w:val="21"/>
                <w:szCs w:val="21"/>
                <w:highlight w:val="none"/>
                <w:lang w:eastAsia="en-US"/>
              </w:rPr>
              <w:t>其他要求</w:t>
            </w:r>
          </w:p>
        </w:tc>
        <w:tc>
          <w:tcPr>
            <w:tcW w:w="2258" w:type="dxa"/>
            <w:tcBorders>
              <w:right w:val="single" w:color="000000" w:sz="6" w:space="0"/>
            </w:tcBorders>
            <w:noWrap w:val="0"/>
            <w:vAlign w:val="center"/>
          </w:tcPr>
          <w:p w14:paraId="4770EC30">
            <w:pPr>
              <w:pStyle w:val="41"/>
              <w:keepNext w:val="0"/>
              <w:keepLines w:val="0"/>
              <w:pageBreakBefore w:val="0"/>
              <w:widowControl w:val="0"/>
              <w:kinsoku/>
              <w:wordWrap/>
              <w:overflowPunct/>
              <w:topLinePunct w:val="0"/>
              <w:bidi w:val="0"/>
              <w:adjustRightInd/>
              <w:snapToGrid/>
              <w:spacing w:line="240" w:lineRule="auto"/>
              <w:ind w:left="105"/>
              <w:jc w:val="left"/>
              <w:textAlignment w:val="auto"/>
              <w:rPr>
                <w:sz w:val="21"/>
                <w:szCs w:val="21"/>
                <w:highlight w:val="none"/>
              </w:rPr>
            </w:pPr>
            <w:r>
              <w:rPr>
                <w:sz w:val="21"/>
                <w:szCs w:val="21"/>
                <w:highlight w:val="none"/>
              </w:rPr>
              <w:t>符合法律、行政法规规定的其他条件或谈判文件列明的其他要求</w:t>
            </w:r>
          </w:p>
        </w:tc>
        <w:tc>
          <w:tcPr>
            <w:tcW w:w="3869" w:type="dxa"/>
            <w:tcBorders>
              <w:left w:val="single" w:color="000000" w:sz="6" w:space="0"/>
            </w:tcBorders>
            <w:noWrap w:val="0"/>
            <w:vAlign w:val="center"/>
          </w:tcPr>
          <w:p w14:paraId="6FD54988">
            <w:pPr>
              <w:pStyle w:val="41"/>
              <w:keepNext w:val="0"/>
              <w:keepLines w:val="0"/>
              <w:pageBreakBefore w:val="0"/>
              <w:widowControl w:val="0"/>
              <w:kinsoku/>
              <w:wordWrap/>
              <w:overflowPunct/>
              <w:topLinePunct w:val="0"/>
              <w:bidi w:val="0"/>
              <w:adjustRightInd/>
              <w:snapToGrid/>
              <w:spacing w:line="240" w:lineRule="auto"/>
              <w:jc w:val="left"/>
              <w:textAlignment w:val="auto"/>
              <w:rPr>
                <w:sz w:val="21"/>
                <w:szCs w:val="21"/>
                <w:highlight w:val="none"/>
              </w:rPr>
            </w:pPr>
          </w:p>
        </w:tc>
      </w:tr>
    </w:tbl>
    <w:p w14:paraId="03722B6B">
      <w:pPr>
        <w:keepNext w:val="0"/>
        <w:keepLines w:val="0"/>
        <w:pageBreakBefore w:val="0"/>
        <w:widowControl w:val="0"/>
        <w:kinsoku/>
        <w:wordWrap/>
        <w:overflowPunct/>
        <w:topLinePunct w:val="0"/>
        <w:autoSpaceDE w:val="0"/>
        <w:autoSpaceDN w:val="0"/>
        <w:bidi w:val="0"/>
        <w:adjustRightInd/>
        <w:snapToGrid/>
        <w:spacing w:before="0" w:beforeLines="100" w:after="6" w:line="360" w:lineRule="auto"/>
        <w:ind w:left="232" w:right="295" w:firstLine="437"/>
        <w:jc w:val="left"/>
        <w:textAlignment w:val="auto"/>
        <w:rPr>
          <w:sz w:val="21"/>
          <w:szCs w:val="21"/>
          <w:highlight w:val="none"/>
        </w:rPr>
      </w:pPr>
      <w:r>
        <w:rPr>
          <w:b/>
          <w:sz w:val="21"/>
          <w:szCs w:val="21"/>
          <w:highlight w:val="none"/>
        </w:rPr>
        <w:t>初审指标通过标准：</w:t>
      </w:r>
      <w:r>
        <w:rPr>
          <w:sz w:val="21"/>
          <w:szCs w:val="21"/>
          <w:highlight w:val="none"/>
        </w:rPr>
        <w:t>供应商必须通过初审表中的全部评审指标</w:t>
      </w:r>
    </w:p>
    <w:p w14:paraId="7A8FA21E">
      <w:pPr>
        <w:keepNext w:val="0"/>
        <w:keepLines w:val="0"/>
        <w:pageBreakBefore w:val="0"/>
        <w:widowControl w:val="0"/>
        <w:kinsoku/>
        <w:wordWrap/>
        <w:overflowPunct/>
        <w:topLinePunct w:val="0"/>
        <w:autoSpaceDE w:val="0"/>
        <w:autoSpaceDN w:val="0"/>
        <w:bidi w:val="0"/>
        <w:adjustRightInd/>
        <w:snapToGrid/>
        <w:spacing w:after="0" w:afterLines="100" w:line="560" w:lineRule="exact"/>
        <w:ind w:left="675" w:right="130" w:hanging="6"/>
        <w:jc w:val="left"/>
        <w:textAlignment w:val="auto"/>
        <w:rPr>
          <w:rFonts w:hint="eastAsia" w:ascii="宋体" w:hAnsi="宋体" w:eastAsia="宋体" w:cs="宋体"/>
          <w:b/>
          <w:kern w:val="0"/>
          <w:szCs w:val="21"/>
          <w:highlight w:val="none"/>
          <w:lang w:val="zh-CN" w:eastAsia="zh-CN" w:bidi="zh-CN"/>
        </w:rPr>
      </w:pPr>
      <w:bookmarkStart w:id="32" w:name="_Toc38640624"/>
      <w:r>
        <w:rPr>
          <w:rFonts w:hint="eastAsia" w:ascii="宋体" w:hAnsi="宋体" w:eastAsia="宋体" w:cs="宋体"/>
          <w:b/>
          <w:kern w:val="0"/>
          <w:szCs w:val="21"/>
          <w:highlight w:val="none"/>
          <w:lang w:val="en-US" w:eastAsia="zh-CN" w:bidi="zh-CN"/>
        </w:rPr>
        <w:t>三、</w:t>
      </w:r>
      <w:r>
        <w:rPr>
          <w:rFonts w:hint="eastAsia" w:ascii="宋体" w:hAnsi="宋体" w:eastAsia="宋体" w:cs="宋体"/>
          <w:b/>
          <w:kern w:val="0"/>
          <w:szCs w:val="21"/>
          <w:highlight w:val="none"/>
          <w:lang w:val="zh-CN" w:bidi="zh-CN"/>
        </w:rPr>
        <w:t>异常低价</w:t>
      </w:r>
      <w:r>
        <w:rPr>
          <w:rFonts w:hint="eastAsia" w:ascii="宋体" w:hAnsi="宋体" w:eastAsia="宋体" w:cs="宋体"/>
          <w:b/>
          <w:kern w:val="0"/>
          <w:szCs w:val="21"/>
          <w:highlight w:val="none"/>
          <w:lang w:val="zh-CN" w:eastAsia="zh-CN" w:bidi="zh-CN"/>
        </w:rPr>
        <w:t>响应审查</w:t>
      </w:r>
    </w:p>
    <w:tbl>
      <w:tblPr>
        <w:tblStyle w:val="22"/>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1511"/>
        <w:gridCol w:w="4625"/>
        <w:gridCol w:w="2355"/>
      </w:tblGrid>
      <w:tr w14:paraId="18CC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noWrap w:val="0"/>
            <w:vAlign w:val="center"/>
          </w:tcPr>
          <w:p w14:paraId="55784828">
            <w:pPr>
              <w:keepNext w:val="0"/>
              <w:keepLines w:val="0"/>
              <w:pageBreakBefore w:val="0"/>
              <w:widowControl w:val="0"/>
              <w:kinsoku/>
              <w:wordWrap/>
              <w:overflowPunct/>
              <w:topLinePunct w:val="0"/>
              <w:autoSpaceDE w:val="0"/>
              <w:autoSpaceDN w:val="0"/>
              <w:bidi w:val="0"/>
              <w:adjustRightInd/>
              <w:snapToGrid/>
              <w:spacing w:line="240" w:lineRule="auto"/>
              <w:ind w:left="0" w:right="0"/>
              <w:jc w:val="center"/>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异常低价</w:t>
            </w:r>
            <w:r>
              <w:rPr>
                <w:rFonts w:hint="eastAsia" w:ascii="宋体" w:hAnsi="宋体" w:eastAsia="宋体" w:cs="宋体"/>
                <w:kern w:val="0"/>
                <w:szCs w:val="21"/>
                <w:highlight w:val="none"/>
                <w:lang w:val="zh-CN" w:eastAsia="zh-CN" w:bidi="zh-CN"/>
              </w:rPr>
              <w:t>响应审查</w:t>
            </w:r>
            <w:r>
              <w:rPr>
                <w:rFonts w:hint="eastAsia" w:ascii="宋体" w:hAnsi="宋体" w:eastAsia="宋体" w:cs="宋体"/>
                <w:kern w:val="0"/>
                <w:szCs w:val="21"/>
                <w:highlight w:val="none"/>
                <w:lang w:val="zh-CN" w:bidi="zh-CN"/>
              </w:rPr>
              <w:t>表</w:t>
            </w:r>
          </w:p>
        </w:tc>
      </w:tr>
      <w:tr w14:paraId="14A2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05" w:type="dxa"/>
            <w:tcBorders>
              <w:bottom w:val="single" w:color="auto" w:sz="4" w:space="0"/>
            </w:tcBorders>
            <w:noWrap w:val="0"/>
            <w:vAlign w:val="center"/>
          </w:tcPr>
          <w:p w14:paraId="0E0BC65C">
            <w:pPr>
              <w:keepNext w:val="0"/>
              <w:keepLines w:val="0"/>
              <w:pageBreakBefore w:val="0"/>
              <w:widowControl w:val="0"/>
              <w:kinsoku/>
              <w:wordWrap/>
              <w:overflowPunct/>
              <w:topLinePunct w:val="0"/>
              <w:autoSpaceDE w:val="0"/>
              <w:autoSpaceDN w:val="0"/>
              <w:bidi w:val="0"/>
              <w:adjustRightInd/>
              <w:snapToGrid/>
              <w:spacing w:line="240" w:lineRule="auto"/>
              <w:ind w:left="0" w:right="0"/>
              <w:jc w:val="center"/>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序号</w:t>
            </w:r>
          </w:p>
        </w:tc>
        <w:tc>
          <w:tcPr>
            <w:tcW w:w="1450" w:type="dxa"/>
            <w:tcBorders>
              <w:bottom w:val="single" w:color="auto" w:sz="4" w:space="0"/>
            </w:tcBorders>
            <w:noWrap w:val="0"/>
            <w:vAlign w:val="center"/>
          </w:tcPr>
          <w:p w14:paraId="4CC7E3AD">
            <w:pPr>
              <w:keepNext w:val="0"/>
              <w:keepLines w:val="0"/>
              <w:pageBreakBefore w:val="0"/>
              <w:widowControl w:val="0"/>
              <w:kinsoku/>
              <w:wordWrap/>
              <w:overflowPunct/>
              <w:topLinePunct w:val="0"/>
              <w:autoSpaceDE w:val="0"/>
              <w:autoSpaceDN w:val="0"/>
              <w:bidi w:val="0"/>
              <w:adjustRightInd/>
              <w:snapToGrid/>
              <w:spacing w:line="240" w:lineRule="auto"/>
              <w:ind w:left="0" w:right="0"/>
              <w:jc w:val="center"/>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评审指标</w:t>
            </w:r>
          </w:p>
        </w:tc>
        <w:tc>
          <w:tcPr>
            <w:tcW w:w="4439" w:type="dxa"/>
            <w:tcBorders>
              <w:bottom w:val="single" w:color="auto" w:sz="4" w:space="0"/>
            </w:tcBorders>
            <w:noWrap w:val="0"/>
            <w:vAlign w:val="center"/>
          </w:tcPr>
          <w:p w14:paraId="7919715E">
            <w:pPr>
              <w:keepNext w:val="0"/>
              <w:keepLines w:val="0"/>
              <w:pageBreakBefore w:val="0"/>
              <w:widowControl w:val="0"/>
              <w:kinsoku/>
              <w:wordWrap/>
              <w:overflowPunct/>
              <w:topLinePunct w:val="0"/>
              <w:autoSpaceDE w:val="0"/>
              <w:autoSpaceDN w:val="0"/>
              <w:bidi w:val="0"/>
              <w:adjustRightInd/>
              <w:snapToGrid/>
              <w:spacing w:line="240" w:lineRule="auto"/>
              <w:ind w:left="0" w:right="0"/>
              <w:jc w:val="left"/>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评审标准</w:t>
            </w:r>
          </w:p>
        </w:tc>
        <w:tc>
          <w:tcPr>
            <w:tcW w:w="2260" w:type="dxa"/>
            <w:tcBorders>
              <w:bottom w:val="single" w:color="auto" w:sz="4" w:space="0"/>
            </w:tcBorders>
            <w:noWrap w:val="0"/>
            <w:vAlign w:val="center"/>
          </w:tcPr>
          <w:p w14:paraId="753BDA0E">
            <w:pPr>
              <w:keepNext w:val="0"/>
              <w:keepLines w:val="0"/>
              <w:pageBreakBefore w:val="0"/>
              <w:widowControl w:val="0"/>
              <w:kinsoku/>
              <w:wordWrap/>
              <w:overflowPunct/>
              <w:topLinePunct w:val="0"/>
              <w:autoSpaceDE w:val="0"/>
              <w:autoSpaceDN w:val="0"/>
              <w:bidi w:val="0"/>
              <w:adjustRightInd/>
              <w:snapToGrid/>
              <w:spacing w:line="240" w:lineRule="auto"/>
              <w:ind w:left="0" w:right="0"/>
              <w:jc w:val="center"/>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格式及材料要求</w:t>
            </w:r>
          </w:p>
        </w:tc>
      </w:tr>
      <w:tr w14:paraId="4751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5" w:hRule="atLeast"/>
          <w:jc w:val="center"/>
        </w:trPr>
        <w:tc>
          <w:tcPr>
            <w:tcW w:w="805" w:type="dxa"/>
            <w:tcBorders>
              <w:bottom w:val="single" w:color="auto" w:sz="4" w:space="0"/>
            </w:tcBorders>
            <w:noWrap w:val="0"/>
            <w:vAlign w:val="center"/>
          </w:tcPr>
          <w:p w14:paraId="6AE9732E">
            <w:pPr>
              <w:keepNext w:val="0"/>
              <w:keepLines w:val="0"/>
              <w:pageBreakBefore w:val="0"/>
              <w:widowControl w:val="0"/>
              <w:kinsoku/>
              <w:wordWrap/>
              <w:overflowPunct/>
              <w:topLinePunct w:val="0"/>
              <w:autoSpaceDE w:val="0"/>
              <w:autoSpaceDN w:val="0"/>
              <w:bidi w:val="0"/>
              <w:adjustRightInd/>
              <w:snapToGrid/>
              <w:spacing w:line="240" w:lineRule="auto"/>
              <w:ind w:left="0" w:right="0"/>
              <w:jc w:val="center"/>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1</w:t>
            </w:r>
          </w:p>
        </w:tc>
        <w:tc>
          <w:tcPr>
            <w:tcW w:w="1450" w:type="dxa"/>
            <w:tcBorders>
              <w:bottom w:val="single" w:color="auto" w:sz="4" w:space="0"/>
            </w:tcBorders>
            <w:noWrap w:val="0"/>
            <w:vAlign w:val="center"/>
          </w:tcPr>
          <w:p w14:paraId="6A9B4E43">
            <w:pPr>
              <w:keepNext w:val="0"/>
              <w:keepLines w:val="0"/>
              <w:pageBreakBefore w:val="0"/>
              <w:widowControl w:val="0"/>
              <w:kinsoku/>
              <w:wordWrap/>
              <w:overflowPunct/>
              <w:topLinePunct w:val="0"/>
              <w:autoSpaceDE w:val="0"/>
              <w:autoSpaceDN w:val="0"/>
              <w:bidi w:val="0"/>
              <w:adjustRightInd/>
              <w:snapToGrid/>
              <w:spacing w:line="240" w:lineRule="auto"/>
              <w:ind w:left="0" w:right="0"/>
              <w:jc w:val="center"/>
              <w:textAlignment w:val="auto"/>
              <w:rPr>
                <w:rFonts w:hint="eastAsia" w:ascii="宋体" w:hAnsi="宋体" w:eastAsia="宋体" w:cs="宋体"/>
                <w:kern w:val="0"/>
                <w:szCs w:val="21"/>
                <w:highlight w:val="none"/>
                <w:lang w:val="zh-CN" w:eastAsia="zh-CN" w:bidi="zh-CN"/>
              </w:rPr>
            </w:pPr>
            <w:r>
              <w:rPr>
                <w:rFonts w:hint="eastAsia" w:ascii="宋体" w:hAnsi="宋体" w:eastAsia="宋体" w:cs="宋体"/>
                <w:kern w:val="0"/>
                <w:szCs w:val="21"/>
                <w:highlight w:val="none"/>
                <w:lang w:val="zh-CN" w:bidi="zh-CN"/>
              </w:rPr>
              <w:t>异常低价</w:t>
            </w:r>
            <w:r>
              <w:rPr>
                <w:rFonts w:hint="eastAsia" w:ascii="宋体" w:hAnsi="宋体" w:eastAsia="宋体" w:cs="宋体"/>
                <w:kern w:val="0"/>
                <w:szCs w:val="21"/>
                <w:highlight w:val="none"/>
                <w:lang w:val="zh-CN" w:eastAsia="zh-CN" w:bidi="zh-CN"/>
              </w:rPr>
              <w:t>响应审查</w:t>
            </w:r>
          </w:p>
        </w:tc>
        <w:tc>
          <w:tcPr>
            <w:tcW w:w="4439" w:type="dxa"/>
            <w:tcBorders>
              <w:bottom w:val="single" w:color="auto" w:sz="4" w:space="0"/>
            </w:tcBorders>
            <w:noWrap w:val="0"/>
            <w:vAlign w:val="center"/>
          </w:tcPr>
          <w:p w14:paraId="7436DE72">
            <w:pPr>
              <w:keepNext w:val="0"/>
              <w:keepLines w:val="0"/>
              <w:pageBreakBefore w:val="0"/>
              <w:widowControl w:val="0"/>
              <w:kinsoku/>
              <w:wordWrap/>
              <w:overflowPunct/>
              <w:topLinePunct w:val="0"/>
              <w:autoSpaceDE w:val="0"/>
              <w:autoSpaceDN w:val="0"/>
              <w:bidi w:val="0"/>
              <w:adjustRightInd/>
              <w:snapToGrid/>
              <w:spacing w:line="240" w:lineRule="auto"/>
              <w:ind w:left="0" w:right="0"/>
              <w:jc w:val="left"/>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（1）投标报价＜全部通过</w:t>
            </w:r>
            <w:r>
              <w:rPr>
                <w:rFonts w:hint="eastAsia" w:ascii="宋体" w:hAnsi="宋体" w:eastAsia="宋体" w:cs="宋体"/>
                <w:kern w:val="0"/>
                <w:szCs w:val="21"/>
                <w:highlight w:val="none"/>
                <w:lang w:val="en-US" w:eastAsia="zh-CN" w:bidi="zh-CN"/>
              </w:rPr>
              <w:t>初步</w:t>
            </w:r>
            <w:r>
              <w:rPr>
                <w:rFonts w:hint="eastAsia" w:ascii="宋体" w:hAnsi="宋体" w:eastAsia="宋体" w:cs="宋体"/>
                <w:kern w:val="0"/>
                <w:szCs w:val="21"/>
                <w:highlight w:val="none"/>
                <w:lang w:val="zh-CN" w:bidi="zh-CN"/>
              </w:rPr>
              <w:t>审查投标人投标报价平均值×65%；</w:t>
            </w:r>
          </w:p>
          <w:p w14:paraId="5F16795B">
            <w:pPr>
              <w:keepNext w:val="0"/>
              <w:keepLines w:val="0"/>
              <w:pageBreakBefore w:val="0"/>
              <w:widowControl w:val="0"/>
              <w:kinsoku/>
              <w:wordWrap/>
              <w:overflowPunct/>
              <w:topLinePunct w:val="0"/>
              <w:autoSpaceDE w:val="0"/>
              <w:autoSpaceDN w:val="0"/>
              <w:bidi w:val="0"/>
              <w:adjustRightInd/>
              <w:snapToGrid/>
              <w:spacing w:line="240" w:lineRule="auto"/>
              <w:ind w:left="0" w:right="0"/>
              <w:jc w:val="left"/>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（2）投标报价＜通过符合性审查的次低报价投标人投标报价×65%；</w:t>
            </w:r>
          </w:p>
          <w:p w14:paraId="008E3571">
            <w:pPr>
              <w:keepNext w:val="0"/>
              <w:keepLines w:val="0"/>
              <w:pageBreakBefore w:val="0"/>
              <w:widowControl w:val="0"/>
              <w:kinsoku/>
              <w:wordWrap/>
              <w:overflowPunct/>
              <w:topLinePunct w:val="0"/>
              <w:autoSpaceDE w:val="0"/>
              <w:autoSpaceDN w:val="0"/>
              <w:bidi w:val="0"/>
              <w:adjustRightInd/>
              <w:snapToGrid/>
              <w:spacing w:line="240" w:lineRule="auto"/>
              <w:ind w:left="0" w:right="0"/>
              <w:jc w:val="left"/>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（3）投标报价＜采购项目最高限价（如采购项目未设定最高限价的，以采购项目预算金额作为最高限价）×65%；</w:t>
            </w:r>
          </w:p>
          <w:p w14:paraId="32322D9B">
            <w:pPr>
              <w:keepNext w:val="0"/>
              <w:keepLines w:val="0"/>
              <w:pageBreakBefore w:val="0"/>
              <w:widowControl w:val="0"/>
              <w:kinsoku/>
              <w:wordWrap/>
              <w:overflowPunct/>
              <w:topLinePunct w:val="0"/>
              <w:autoSpaceDE w:val="0"/>
              <w:autoSpaceDN w:val="0"/>
              <w:bidi w:val="0"/>
              <w:adjustRightInd/>
              <w:snapToGrid/>
              <w:spacing w:line="240" w:lineRule="auto"/>
              <w:ind w:left="0" w:right="0"/>
              <w:jc w:val="left"/>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（4）</w:t>
            </w:r>
            <w:r>
              <w:rPr>
                <w:rFonts w:hint="eastAsia" w:ascii="宋体" w:hAnsi="宋体" w:eastAsia="宋体" w:cs="宋体"/>
                <w:kern w:val="0"/>
                <w:szCs w:val="21"/>
                <w:highlight w:val="none"/>
                <w:lang w:val="zh-CN" w:eastAsia="zh-CN" w:bidi="zh-CN"/>
              </w:rPr>
              <w:t>评审</w:t>
            </w:r>
            <w:r>
              <w:rPr>
                <w:rFonts w:hint="eastAsia" w:ascii="宋体" w:hAnsi="宋体" w:eastAsia="宋体" w:cs="宋体"/>
                <w:kern w:val="0"/>
                <w:szCs w:val="21"/>
                <w:highlight w:val="none"/>
                <w:lang w:val="zh-CN" w:bidi="zh-CN"/>
              </w:rPr>
              <w:t>委员会基于专业判断，认为投标人报价过低，有可能影响产品质量或者不能诚信履约的其他情形。</w:t>
            </w:r>
          </w:p>
          <w:p w14:paraId="4C150601">
            <w:pPr>
              <w:keepNext w:val="0"/>
              <w:keepLines w:val="0"/>
              <w:pageBreakBefore w:val="0"/>
              <w:widowControl w:val="0"/>
              <w:kinsoku/>
              <w:wordWrap/>
              <w:overflowPunct/>
              <w:topLinePunct w:val="0"/>
              <w:autoSpaceDE w:val="0"/>
              <w:autoSpaceDN w:val="0"/>
              <w:bidi w:val="0"/>
              <w:adjustRightInd/>
              <w:snapToGrid/>
              <w:spacing w:line="240" w:lineRule="auto"/>
              <w:ind w:left="0" w:right="0"/>
              <w:jc w:val="left"/>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提醒：</w:t>
            </w:r>
          </w:p>
          <w:p w14:paraId="633287D3">
            <w:pPr>
              <w:keepNext w:val="0"/>
              <w:keepLines w:val="0"/>
              <w:pageBreakBefore w:val="0"/>
              <w:widowControl w:val="0"/>
              <w:kinsoku/>
              <w:wordWrap/>
              <w:overflowPunct/>
              <w:topLinePunct w:val="0"/>
              <w:autoSpaceDE w:val="0"/>
              <w:autoSpaceDN w:val="0"/>
              <w:bidi w:val="0"/>
              <w:adjustRightInd/>
              <w:snapToGrid/>
              <w:spacing w:line="240" w:lineRule="auto"/>
              <w:ind w:left="0" w:right="0"/>
              <w:jc w:val="left"/>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上述第（1）项数值计算：涉及总价、单价的精确到“分”并四舍五入，涉及费率的精确到小数点后两位，第三位四舍五入（例：如平均值为123.456元，即为123.46元；如平均值为80.126%，即为80.13%）。</w:t>
            </w:r>
          </w:p>
        </w:tc>
        <w:tc>
          <w:tcPr>
            <w:tcW w:w="2260" w:type="dxa"/>
            <w:noWrap w:val="0"/>
            <w:vAlign w:val="center"/>
          </w:tcPr>
          <w:p w14:paraId="66B59B2D">
            <w:pPr>
              <w:keepNext w:val="0"/>
              <w:keepLines w:val="0"/>
              <w:pageBreakBefore w:val="0"/>
              <w:widowControl w:val="0"/>
              <w:kinsoku/>
              <w:wordWrap/>
              <w:overflowPunct/>
              <w:topLinePunct w:val="0"/>
              <w:autoSpaceDE w:val="0"/>
              <w:autoSpaceDN w:val="0"/>
              <w:bidi w:val="0"/>
              <w:adjustRightInd/>
              <w:snapToGrid/>
              <w:spacing w:line="240" w:lineRule="auto"/>
              <w:ind w:left="0" w:right="0"/>
              <w:jc w:val="center"/>
              <w:textAlignment w:val="auto"/>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投标人在评审现场合理的时间内对投标价格作出解释，提供项目具体成本测算等与报价合理性相关的书面说明及必要的证明材料，包括但不限于原材料成本、人工成本、制造费用等。</w:t>
            </w:r>
          </w:p>
        </w:tc>
      </w:tr>
    </w:tbl>
    <w:p w14:paraId="202988DC">
      <w:pPr>
        <w:autoSpaceDE w:val="0"/>
        <w:autoSpaceDN w:val="0"/>
        <w:spacing w:before="5" w:after="6" w:line="360" w:lineRule="auto"/>
        <w:ind w:left="234" w:right="297" w:firstLine="434"/>
        <w:jc w:val="left"/>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注：</w:t>
      </w:r>
    </w:p>
    <w:p w14:paraId="1E517D8A">
      <w:pPr>
        <w:autoSpaceDE w:val="0"/>
        <w:autoSpaceDN w:val="0"/>
        <w:spacing w:before="5" w:after="6" w:line="360" w:lineRule="auto"/>
        <w:ind w:left="234" w:right="297" w:firstLine="434"/>
        <w:jc w:val="left"/>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eastAsia="zh-CN" w:bidi="zh-CN"/>
        </w:rPr>
        <w:t>评审</w:t>
      </w:r>
      <w:r>
        <w:rPr>
          <w:rFonts w:hint="eastAsia" w:ascii="宋体" w:hAnsi="宋体" w:eastAsia="宋体" w:cs="宋体"/>
          <w:kern w:val="0"/>
          <w:szCs w:val="21"/>
          <w:highlight w:val="none"/>
          <w:lang w:val="zh-CN" w:bidi="zh-CN"/>
        </w:rPr>
        <w:t>委员会启动异常低价</w:t>
      </w:r>
      <w:r>
        <w:rPr>
          <w:rFonts w:hint="eastAsia" w:ascii="宋体" w:hAnsi="宋体" w:eastAsia="宋体" w:cs="宋体"/>
          <w:kern w:val="0"/>
          <w:szCs w:val="21"/>
          <w:highlight w:val="none"/>
          <w:lang w:val="zh-CN" w:eastAsia="zh-CN" w:bidi="zh-CN"/>
        </w:rPr>
        <w:t>响应审查</w:t>
      </w:r>
      <w:r>
        <w:rPr>
          <w:rFonts w:hint="eastAsia" w:ascii="宋体" w:hAnsi="宋体" w:eastAsia="宋体" w:cs="宋体"/>
          <w:kern w:val="0"/>
          <w:szCs w:val="21"/>
          <w:highlight w:val="none"/>
          <w:lang w:val="zh-CN" w:bidi="zh-CN"/>
        </w:rPr>
        <w:t>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3）项情形，投标人已随投标文件一并提交相关书面说明及必要的证明材料的，在评审现场可不再重复提交。</w:t>
      </w:r>
    </w:p>
    <w:p w14:paraId="49A5528A">
      <w:pPr>
        <w:autoSpaceDE w:val="0"/>
        <w:autoSpaceDN w:val="0"/>
        <w:spacing w:before="5" w:after="6" w:line="360" w:lineRule="auto"/>
        <w:ind w:left="234" w:right="297" w:firstLine="434"/>
        <w:jc w:val="left"/>
        <w:rPr>
          <w:rFonts w:hint="eastAsia" w:ascii="宋体" w:hAnsi="宋体" w:eastAsia="宋体" w:cs="宋体"/>
          <w:kern w:val="0"/>
          <w:szCs w:val="21"/>
          <w:highlight w:val="none"/>
          <w:lang w:val="zh-CN" w:bidi="zh-CN"/>
        </w:rPr>
      </w:pPr>
      <w:r>
        <w:rPr>
          <w:rFonts w:hint="eastAsia" w:ascii="宋体" w:hAnsi="宋体" w:eastAsia="宋体" w:cs="宋体"/>
          <w:kern w:val="0"/>
          <w:szCs w:val="21"/>
          <w:highlight w:val="none"/>
          <w:lang w:val="zh-CN" w:eastAsia="zh-CN" w:bidi="zh-CN"/>
        </w:rPr>
        <w:t>评审</w:t>
      </w:r>
      <w:r>
        <w:rPr>
          <w:rFonts w:hint="eastAsia" w:ascii="宋体" w:hAnsi="宋体" w:eastAsia="宋体" w:cs="宋体"/>
          <w:kern w:val="0"/>
          <w:szCs w:val="21"/>
          <w:highlight w:val="none"/>
          <w:lang w:val="zh-CN" w:bidi="zh-CN"/>
        </w:rPr>
        <w:t>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w:t>
      </w:r>
      <w:r>
        <w:rPr>
          <w:rFonts w:hint="eastAsia" w:ascii="宋体" w:hAnsi="宋体" w:eastAsia="宋体" w:cs="宋体"/>
          <w:kern w:val="0"/>
          <w:szCs w:val="21"/>
          <w:highlight w:val="none"/>
          <w:lang w:val="zh-CN" w:eastAsia="zh-CN" w:bidi="zh-CN"/>
        </w:rPr>
        <w:t>评审</w:t>
      </w:r>
      <w:r>
        <w:rPr>
          <w:rFonts w:hint="eastAsia" w:ascii="宋体" w:hAnsi="宋体" w:eastAsia="宋体" w:cs="宋体"/>
          <w:kern w:val="0"/>
          <w:szCs w:val="21"/>
          <w:highlight w:val="none"/>
          <w:lang w:val="zh-CN" w:bidi="zh-CN"/>
        </w:rPr>
        <w:t>委员会应当将其作为无效投标处理。</w:t>
      </w:r>
    </w:p>
    <w:p w14:paraId="5E2A50F7">
      <w:pPr>
        <w:autoSpaceDE w:val="0"/>
        <w:autoSpaceDN w:val="0"/>
        <w:spacing w:before="5" w:after="6" w:line="360" w:lineRule="auto"/>
        <w:ind w:left="234" w:right="297" w:firstLine="434"/>
        <w:jc w:val="left"/>
        <w:rPr>
          <w:rFonts w:hint="eastAsia" w:ascii="宋体" w:hAnsi="宋体" w:eastAsia="宋体"/>
          <w:color w:val="auto"/>
          <w:sz w:val="24"/>
          <w:highlight w:val="none"/>
        </w:rPr>
      </w:pPr>
      <w:r>
        <w:rPr>
          <w:rFonts w:hint="eastAsia" w:ascii="宋体" w:hAnsi="宋体" w:eastAsia="宋体" w:cs="宋体"/>
          <w:kern w:val="0"/>
          <w:szCs w:val="21"/>
          <w:highlight w:val="none"/>
          <w:lang w:val="zh-CN" w:eastAsia="zh-CN" w:bidi="zh-CN"/>
        </w:rPr>
        <w:t>评审</w:t>
      </w:r>
      <w:r>
        <w:rPr>
          <w:rFonts w:hint="eastAsia" w:ascii="宋体" w:hAnsi="宋体" w:eastAsia="宋体" w:cs="宋体"/>
          <w:kern w:val="0"/>
          <w:szCs w:val="21"/>
          <w:highlight w:val="none"/>
          <w:lang w:val="zh-CN" w:bidi="zh-CN"/>
        </w:rPr>
        <w:t>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w:t>
      </w:r>
      <w:r>
        <w:rPr>
          <w:rFonts w:hint="eastAsia" w:ascii="宋体" w:hAnsi="宋体" w:eastAsia="宋体" w:cs="宋体"/>
          <w:kern w:val="0"/>
          <w:szCs w:val="21"/>
          <w:highlight w:val="none"/>
          <w:lang w:val="zh-CN" w:eastAsia="zh-CN" w:bidi="zh-CN"/>
        </w:rPr>
        <w:t>评审</w:t>
      </w:r>
      <w:r>
        <w:rPr>
          <w:rFonts w:hint="eastAsia" w:ascii="宋体" w:hAnsi="宋体" w:eastAsia="宋体" w:cs="宋体"/>
          <w:kern w:val="0"/>
          <w:szCs w:val="21"/>
          <w:highlight w:val="none"/>
          <w:lang w:val="zh-CN" w:bidi="zh-CN"/>
        </w:rPr>
        <w:t>委员会有关互联网浏览、查询历史一并归档。</w:t>
      </w:r>
    </w:p>
    <w:p w14:paraId="1F8D881A">
      <w:pPr>
        <w:widowControl/>
        <w:jc w:val="center"/>
        <w:rPr>
          <w:rFonts w:ascii="宋体" w:hAnsi="宋体" w:eastAsia="宋体" w:cs="Times New Roman"/>
          <w:b/>
          <w:bCs/>
          <w:kern w:val="44"/>
          <w:sz w:val="32"/>
          <w:szCs w:val="32"/>
          <w:highlight w:val="none"/>
        </w:rPr>
      </w:pPr>
      <w:r>
        <w:rPr>
          <w:rFonts w:ascii="宋体" w:hAnsi="宋体" w:eastAsia="宋体" w:cs="Times New Roman"/>
          <w:b/>
          <w:bCs/>
          <w:kern w:val="44"/>
          <w:sz w:val="32"/>
          <w:szCs w:val="32"/>
          <w:highlight w:val="none"/>
        </w:rPr>
        <w:br w:type="page"/>
      </w:r>
      <w:bookmarkEnd w:id="32"/>
      <w:bookmarkStart w:id="33" w:name="_Toc38640625"/>
    </w:p>
    <w:p w14:paraId="01A9F342">
      <w:pPr>
        <w:widowControl/>
        <w:jc w:val="center"/>
        <w:outlineLvl w:val="0"/>
        <w:rPr>
          <w:rFonts w:ascii="微软雅黑" w:hAnsi="微软雅黑" w:eastAsia="微软雅黑" w:cs="微软雅黑"/>
          <w:sz w:val="36"/>
          <w:szCs w:val="36"/>
          <w:highlight w:val="none"/>
        </w:rPr>
      </w:pPr>
      <w:bookmarkStart w:id="34" w:name="_Toc3366"/>
      <w:r>
        <w:rPr>
          <w:rFonts w:hint="eastAsia" w:ascii="华文中宋" w:hAnsi="华文中宋" w:eastAsia="华文中宋" w:cs="华文中宋"/>
          <w:b/>
          <w:bCs/>
          <w:kern w:val="44"/>
          <w:sz w:val="44"/>
          <w:szCs w:val="44"/>
          <w:highlight w:val="none"/>
        </w:rPr>
        <w:t>第</w:t>
      </w:r>
      <w:r>
        <w:rPr>
          <w:rFonts w:hint="eastAsia" w:ascii="华文中宋" w:hAnsi="华文中宋" w:eastAsia="华文中宋" w:cs="华文中宋"/>
          <w:b/>
          <w:bCs/>
          <w:kern w:val="44"/>
          <w:sz w:val="44"/>
          <w:szCs w:val="44"/>
          <w:highlight w:val="none"/>
          <w:lang w:val="en-US" w:eastAsia="zh-CN"/>
        </w:rPr>
        <w:t>五</w:t>
      </w:r>
      <w:r>
        <w:rPr>
          <w:rFonts w:hint="eastAsia" w:ascii="华文中宋" w:hAnsi="华文中宋" w:eastAsia="华文中宋" w:cs="华文中宋"/>
          <w:b/>
          <w:bCs/>
          <w:kern w:val="44"/>
          <w:sz w:val="44"/>
          <w:szCs w:val="44"/>
          <w:highlight w:val="none"/>
        </w:rPr>
        <w:t>章</w:t>
      </w:r>
      <w:r>
        <w:rPr>
          <w:rFonts w:hint="eastAsia" w:ascii="华文中宋" w:hAnsi="华文中宋" w:eastAsia="华文中宋" w:cs="华文中宋"/>
          <w:b/>
          <w:bCs/>
          <w:kern w:val="44"/>
          <w:sz w:val="44"/>
          <w:szCs w:val="44"/>
          <w:highlight w:val="none"/>
          <w:lang w:val="en-US" w:eastAsia="zh-CN"/>
        </w:rPr>
        <w:t xml:space="preserve"> 合同文本</w:t>
      </w:r>
      <w:bookmarkEnd w:id="34"/>
      <w:bookmarkStart w:id="35" w:name="_Toc28360333"/>
    </w:p>
    <w:p w14:paraId="394BAE09">
      <w:pPr>
        <w:autoSpaceDE w:val="0"/>
        <w:autoSpaceDN w:val="0"/>
        <w:spacing w:line="460" w:lineRule="atLeast"/>
        <w:ind w:firstLine="723" w:firstLineChars="200"/>
        <w:jc w:val="center"/>
        <w:rPr>
          <w:rFonts w:hint="eastAsia" w:ascii="方正仿宋_GBK" w:hAnsi="方正仿宋_GBK" w:eastAsia="方正仿宋_GBK" w:cs="方正仿宋_GBK"/>
          <w:b/>
          <w:bCs/>
          <w:color w:val="000000"/>
          <w:kern w:val="0"/>
          <w:sz w:val="36"/>
          <w:szCs w:val="36"/>
          <w:highlight w:val="none"/>
          <w:lang w:val="en-US" w:eastAsia="zh-CN" w:bidi="zh-CN"/>
        </w:rPr>
      </w:pPr>
      <w:r>
        <w:rPr>
          <w:rFonts w:hint="eastAsia" w:ascii="方正仿宋_GBK" w:hAnsi="方正仿宋_GBK" w:eastAsia="方正仿宋_GBK" w:cs="方正仿宋_GBK"/>
          <w:b/>
          <w:bCs/>
          <w:color w:val="000000"/>
          <w:kern w:val="0"/>
          <w:sz w:val="36"/>
          <w:szCs w:val="36"/>
          <w:highlight w:val="none"/>
          <w:lang w:val="en-US" w:eastAsia="zh-CN" w:bidi="zh-CN"/>
        </w:rPr>
        <w:t>采购合同</w:t>
      </w:r>
    </w:p>
    <w:p w14:paraId="4AEAE34B">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zh-CN" w:bidi="zh-CN"/>
        </w:rPr>
        <w:t>甲方</w:t>
      </w:r>
      <w:r>
        <w:rPr>
          <w:rFonts w:hint="eastAsia" w:ascii="方正仿宋_GBK" w:hAnsi="方正仿宋_GBK" w:eastAsia="方正仿宋_GBK" w:cs="方正仿宋_GBK"/>
          <w:color w:val="000000"/>
          <w:kern w:val="0"/>
          <w:sz w:val="24"/>
          <w:szCs w:val="24"/>
          <w:highlight w:val="none"/>
          <w:lang w:val="zh-CN" w:eastAsia="zh-CN" w:bidi="zh-CN"/>
        </w:rPr>
        <w:t>（</w:t>
      </w:r>
      <w:r>
        <w:rPr>
          <w:rFonts w:hint="eastAsia" w:ascii="方正仿宋_GBK" w:hAnsi="方正仿宋_GBK" w:eastAsia="方正仿宋_GBK" w:cs="方正仿宋_GBK"/>
          <w:color w:val="000000"/>
          <w:kern w:val="0"/>
          <w:sz w:val="24"/>
          <w:szCs w:val="24"/>
          <w:highlight w:val="none"/>
          <w:lang w:val="en-US" w:eastAsia="zh-CN" w:bidi="zh-CN"/>
        </w:rPr>
        <w:t>采购人）</w:t>
      </w:r>
      <w:r>
        <w:rPr>
          <w:rFonts w:hint="eastAsia" w:ascii="方正仿宋_GBK" w:hAnsi="方正仿宋_GBK" w:eastAsia="方正仿宋_GBK" w:cs="方正仿宋_GBK"/>
          <w:color w:val="000000"/>
          <w:kern w:val="0"/>
          <w:sz w:val="24"/>
          <w:szCs w:val="24"/>
          <w:highlight w:val="none"/>
          <w:lang w:val="zh-CN" w:bidi="zh-CN"/>
        </w:rPr>
        <w:t>：</w:t>
      </w:r>
    </w:p>
    <w:p w14:paraId="4DBECD30">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zh-CN" w:eastAsia="zh-CN" w:bidi="zh-CN"/>
        </w:rPr>
      </w:pPr>
      <w:r>
        <w:rPr>
          <w:rFonts w:hint="eastAsia" w:ascii="方正仿宋_GBK" w:hAnsi="方正仿宋_GBK" w:eastAsia="方正仿宋_GBK" w:cs="方正仿宋_GBK"/>
          <w:color w:val="000000"/>
          <w:kern w:val="0"/>
          <w:sz w:val="24"/>
          <w:szCs w:val="24"/>
          <w:highlight w:val="none"/>
          <w:lang w:val="zh-CN" w:bidi="zh-CN"/>
        </w:rPr>
        <w:t>地址：</w:t>
      </w:r>
    </w:p>
    <w:p w14:paraId="2757C7A3">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zh-CN" w:bidi="zh-CN"/>
        </w:rPr>
      </w:pPr>
      <w:r>
        <w:rPr>
          <w:rFonts w:hint="eastAsia" w:ascii="方正仿宋_GBK" w:hAnsi="方正仿宋_GBK" w:eastAsia="方正仿宋_GBK" w:cs="方正仿宋_GBK"/>
          <w:color w:val="000000"/>
          <w:kern w:val="0"/>
          <w:sz w:val="24"/>
          <w:szCs w:val="24"/>
          <w:highlight w:val="none"/>
          <w:lang w:val="zh-CN" w:bidi="zh-CN"/>
        </w:rPr>
        <w:t>乙方</w:t>
      </w:r>
      <w:r>
        <w:rPr>
          <w:rFonts w:hint="eastAsia" w:ascii="方正仿宋_GBK" w:hAnsi="方正仿宋_GBK" w:eastAsia="方正仿宋_GBK" w:cs="方正仿宋_GBK"/>
          <w:color w:val="000000"/>
          <w:kern w:val="0"/>
          <w:sz w:val="24"/>
          <w:szCs w:val="24"/>
          <w:highlight w:val="none"/>
          <w:lang w:val="zh-CN" w:eastAsia="zh-CN" w:bidi="zh-CN"/>
        </w:rPr>
        <w:t>（</w:t>
      </w:r>
      <w:r>
        <w:rPr>
          <w:rFonts w:hint="eastAsia" w:ascii="方正仿宋_GBK" w:hAnsi="方正仿宋_GBK" w:eastAsia="方正仿宋_GBK" w:cs="方正仿宋_GBK"/>
          <w:color w:val="000000"/>
          <w:kern w:val="0"/>
          <w:sz w:val="24"/>
          <w:szCs w:val="24"/>
          <w:highlight w:val="none"/>
          <w:lang w:val="en-US" w:eastAsia="zh-CN" w:bidi="zh-CN"/>
        </w:rPr>
        <w:t>供应商）</w:t>
      </w:r>
      <w:r>
        <w:rPr>
          <w:rFonts w:hint="eastAsia" w:ascii="方正仿宋_GBK" w:hAnsi="方正仿宋_GBK" w:eastAsia="方正仿宋_GBK" w:cs="方正仿宋_GBK"/>
          <w:color w:val="000000"/>
          <w:kern w:val="0"/>
          <w:sz w:val="24"/>
          <w:szCs w:val="24"/>
          <w:highlight w:val="none"/>
          <w:lang w:val="zh-CN" w:bidi="zh-CN"/>
        </w:rPr>
        <w:t>：</w:t>
      </w:r>
    </w:p>
    <w:p w14:paraId="7F67E534">
      <w:pPr>
        <w:autoSpaceDE w:val="0"/>
        <w:autoSpaceDN w:val="0"/>
        <w:spacing w:line="460" w:lineRule="atLeast"/>
        <w:ind w:firstLine="480" w:firstLineChars="200"/>
        <w:jc w:val="left"/>
        <w:rPr>
          <w:rFonts w:hint="default" w:ascii="方正仿宋_GBK" w:hAnsi="方正仿宋_GBK" w:eastAsia="方正仿宋_GBK" w:cs="方正仿宋_GBK"/>
          <w:color w:val="000000"/>
          <w:kern w:val="0"/>
          <w:sz w:val="24"/>
          <w:szCs w:val="24"/>
          <w:highlight w:val="none"/>
          <w:lang w:val="en-US" w:bidi="zh-CN"/>
        </w:rPr>
      </w:pPr>
      <w:r>
        <w:rPr>
          <w:rFonts w:hint="eastAsia" w:ascii="方正仿宋_GBK" w:hAnsi="方正仿宋_GBK" w:eastAsia="方正仿宋_GBK" w:cs="方正仿宋_GBK"/>
          <w:color w:val="000000"/>
          <w:kern w:val="0"/>
          <w:sz w:val="24"/>
          <w:szCs w:val="24"/>
          <w:highlight w:val="none"/>
          <w:lang w:val="zh-CN" w:bidi="zh-CN"/>
        </w:rPr>
        <w:t>地址：</w:t>
      </w:r>
    </w:p>
    <w:p w14:paraId="6306E8E8">
      <w:pPr>
        <w:autoSpaceDE w:val="0"/>
        <w:autoSpaceDN w:val="0"/>
        <w:spacing w:line="460" w:lineRule="atLeast"/>
        <w:ind w:firstLine="480" w:firstLineChars="200"/>
        <w:jc w:val="lef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color w:val="000000"/>
          <w:kern w:val="0"/>
          <w:sz w:val="24"/>
          <w:szCs w:val="24"/>
          <w:highlight w:val="none"/>
          <w:lang w:val="zh-CN" w:bidi="zh-CN"/>
        </w:rPr>
        <w:t>依据《中华人民共和国民法典》《中华人民共和国产品质量法》等相关法律法规，甲乙双方本着平等自愿、公平诚信、等价有偿的原则，就</w:t>
      </w:r>
      <w:r>
        <w:rPr>
          <w:rFonts w:hint="eastAsia" w:ascii="方正仿宋_GBK" w:hAnsi="方正仿宋_GBK" w:eastAsia="方正仿宋_GBK" w:cs="方正仿宋_GBK"/>
          <w:b w:val="0"/>
          <w:bCs/>
          <w:color w:val="000000"/>
          <w:sz w:val="24"/>
          <w:szCs w:val="24"/>
          <w:highlight w:val="none"/>
          <w:u w:val="single"/>
          <w:lang w:val="en-US" w:eastAsia="zh-CN"/>
        </w:rPr>
        <w:t xml:space="preserve"> </w:t>
      </w:r>
      <w:r>
        <w:rPr>
          <w:rFonts w:hint="eastAsia" w:ascii="仿宋" w:hAnsi="仿宋" w:eastAsia="仿宋" w:cs="Times New Roman"/>
          <w:sz w:val="24"/>
          <w:szCs w:val="24"/>
          <w:highlight w:val="none"/>
          <w:u w:val="single"/>
          <w:lang w:val="en-US" w:eastAsia="zh-CN"/>
        </w:rPr>
        <w:t>阜阳建投物业服务有限公司2026年度园林绿化涂白剂、保温棉、保温膜</w:t>
      </w:r>
      <w:r>
        <w:rPr>
          <w:rFonts w:hint="eastAsia" w:ascii="方正仿宋_GBK" w:hAnsi="方正仿宋_GBK" w:eastAsia="方正仿宋_GBK" w:cs="方正仿宋_GBK"/>
          <w:b w:val="0"/>
          <w:bCs/>
          <w:color w:val="000000"/>
          <w:sz w:val="24"/>
          <w:szCs w:val="24"/>
          <w:highlight w:val="none"/>
          <w:u w:val="single"/>
          <w:lang w:val="en-US" w:eastAsia="zh-CN"/>
        </w:rPr>
        <w:t xml:space="preserve"> </w:t>
      </w:r>
      <w:r>
        <w:rPr>
          <w:rFonts w:hint="eastAsia" w:ascii="方正仿宋_GBK" w:hAnsi="方正仿宋_GBK" w:eastAsia="方正仿宋_GBK" w:cs="方正仿宋_GBK"/>
          <w:color w:val="000000"/>
          <w:kern w:val="0"/>
          <w:sz w:val="24"/>
          <w:szCs w:val="24"/>
          <w:highlight w:val="none"/>
          <w:lang w:val="zh-CN" w:bidi="zh-CN"/>
        </w:rPr>
        <w:t>采购事宜，经充分协商一致，订立本合同，以资共同信守</w:t>
      </w:r>
      <w:r>
        <w:rPr>
          <w:rFonts w:hint="eastAsia" w:ascii="方正仿宋_GBK" w:hAnsi="方正仿宋_GBK" w:eastAsia="方正仿宋_GBK" w:cs="方正仿宋_GBK"/>
          <w:sz w:val="24"/>
          <w:szCs w:val="24"/>
          <w:highlight w:val="none"/>
        </w:rPr>
        <w:t>。</w:t>
      </w:r>
    </w:p>
    <w:p w14:paraId="5BD6EE73">
      <w:pPr>
        <w:spacing w:line="360" w:lineRule="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一、采购货物明细</w:t>
      </w:r>
    </w:p>
    <w:p w14:paraId="369744FA">
      <w:pPr>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left"/>
        <w:textAlignment w:val="auto"/>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合同采购货物的名称、规格型号、技术参数、执行标准、品牌、暂定数量、单位、单价、合价、产地、供货要求等全部详细信息，详见本合同附件《货物采购明细表》。本合同附件与本合同正文具有同等法律效力。</w:t>
      </w:r>
    </w:p>
    <w:p w14:paraId="2AD4969B">
      <w:pPr>
        <w:keepNext w:val="0"/>
        <w:keepLines w:val="0"/>
        <w:pageBreakBefore w:val="0"/>
        <w:widowControl/>
        <w:kinsoku/>
        <w:wordWrap/>
        <w:overflowPunct/>
        <w:topLinePunct w:val="0"/>
        <w:autoSpaceDE/>
        <w:autoSpaceDN/>
        <w:bidi w:val="0"/>
        <w:adjustRightInd/>
        <w:snapToGrid/>
        <w:spacing w:line="360" w:lineRule="auto"/>
        <w:ind w:right="0" w:firstLine="0" w:firstLineChars="0"/>
        <w:jc w:val="left"/>
        <w:textAlignment w:val="auto"/>
        <w:rPr>
          <w:rFonts w:hint="eastAsia" w:ascii="方正仿宋_GBK" w:hAnsi="方正仿宋_GBK" w:eastAsia="方正仿宋_GBK" w:cs="方正仿宋_GBK"/>
          <w:b/>
          <w:bCs/>
          <w:color w:val="auto"/>
          <w:kern w:val="2"/>
          <w:sz w:val="28"/>
          <w:szCs w:val="28"/>
          <w:highlight w:val="none"/>
          <w:lang w:val="en-US" w:eastAsia="zh-CN" w:bidi="zh-CN"/>
        </w:rPr>
      </w:pPr>
      <w:r>
        <w:rPr>
          <w:rFonts w:hint="eastAsia" w:ascii="方正仿宋_GBK" w:hAnsi="方正仿宋_GBK" w:eastAsia="方正仿宋_GBK" w:cs="方正仿宋_GBK"/>
          <w:b/>
          <w:bCs/>
          <w:color w:val="auto"/>
          <w:kern w:val="2"/>
          <w:sz w:val="28"/>
          <w:szCs w:val="28"/>
          <w:highlight w:val="none"/>
          <w:lang w:val="en-US" w:eastAsia="zh-CN" w:bidi="zh-CN"/>
        </w:rPr>
        <w:t>二、合同期限</w:t>
      </w:r>
    </w:p>
    <w:p w14:paraId="6D04BB3B">
      <w:pPr>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left"/>
        <w:textAlignment w:val="auto"/>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1、本合同期限为6个月，自生效之日起计算。</w:t>
      </w:r>
    </w:p>
    <w:p w14:paraId="5D6CC481">
      <w:pPr>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left"/>
        <w:textAlignment w:val="auto"/>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2、合同终止前已下达但尚未交付完成的订单，乙方仍应继续履行完毕，直至该批次货物验收合格；相应质保义务不受合同期限届满影响。</w:t>
      </w:r>
    </w:p>
    <w:p w14:paraId="23600236">
      <w:pPr>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left"/>
        <w:textAlignment w:val="auto"/>
        <w:rPr>
          <w:rFonts w:hint="default"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3、本合同期限届满，不影响已交付货物的质保期限；乙方仍应按本合同第六条约定，承担免费更换、赔偿等质量保证责任。</w:t>
      </w:r>
    </w:p>
    <w:p w14:paraId="2EB532EB">
      <w:pPr>
        <w:spacing w:line="360" w:lineRule="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三、交货与运输</w:t>
      </w:r>
    </w:p>
    <w:p w14:paraId="1D5FDF65">
      <w:pPr>
        <w:spacing w:line="360" w:lineRule="auto"/>
        <w:ind w:firstLine="480" w:firstLineChars="200"/>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1、供货规则：合同生效后，甲方以书面或电话形式下达供货通知书，乙方收到后</w:t>
      </w:r>
      <w:r>
        <w:rPr>
          <w:rFonts w:hint="eastAsia" w:ascii="方正仿宋_GBK" w:hAnsi="方正仿宋_GBK" w:eastAsia="方正仿宋_GBK" w:cs="方正仿宋_GBK"/>
          <w:b w:val="0"/>
          <w:bCs/>
          <w:color w:val="000000"/>
          <w:sz w:val="24"/>
          <w:szCs w:val="24"/>
          <w:highlight w:val="none"/>
          <w:u w:val="single"/>
          <w:lang w:val="en-US" w:eastAsia="zh-CN"/>
        </w:rPr>
        <w:t xml:space="preserve"> 5</w:t>
      </w:r>
      <w:r>
        <w:rPr>
          <w:rFonts w:hint="eastAsia" w:ascii="方正仿宋_GBK" w:hAnsi="方正仿宋_GBK" w:eastAsia="方正仿宋_GBK" w:cs="方正仿宋_GBK"/>
          <w:color w:val="000000"/>
          <w:kern w:val="0"/>
          <w:sz w:val="24"/>
          <w:szCs w:val="24"/>
          <w:highlight w:val="none"/>
          <w:lang w:val="en-US" w:eastAsia="zh-CN" w:bidi="zh-CN"/>
        </w:rPr>
        <w:t>个工作日完成供货。</w:t>
      </w:r>
    </w:p>
    <w:p w14:paraId="2E3249A9">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2、提前通知：乙方在送货前</w:t>
      </w:r>
      <w:r>
        <w:rPr>
          <w:rFonts w:hint="eastAsia" w:ascii="方正仿宋_GBK" w:hAnsi="方正仿宋_GBK" w:eastAsia="方正仿宋_GBK" w:cs="方正仿宋_GBK"/>
          <w:b w:val="0"/>
          <w:bCs/>
          <w:color w:val="000000"/>
          <w:sz w:val="24"/>
          <w:szCs w:val="24"/>
          <w:highlight w:val="none"/>
          <w:u w:val="single"/>
          <w:lang w:val="en-US" w:eastAsia="zh-CN"/>
        </w:rPr>
        <w:t xml:space="preserve">   12小时  </w:t>
      </w:r>
      <w:r>
        <w:rPr>
          <w:rFonts w:hint="eastAsia" w:ascii="方正仿宋_GBK" w:hAnsi="方正仿宋_GBK" w:eastAsia="方正仿宋_GBK" w:cs="方正仿宋_GBK"/>
          <w:b/>
          <w:color w:val="000000"/>
          <w:sz w:val="24"/>
          <w:szCs w:val="24"/>
          <w:highlight w:val="none"/>
          <w:u w:val="single"/>
          <w:lang w:val="en-US" w:eastAsia="zh-CN"/>
        </w:rPr>
        <w:t xml:space="preserve"> </w:t>
      </w:r>
      <w:r>
        <w:rPr>
          <w:rFonts w:hint="eastAsia" w:ascii="方正仿宋_GBK" w:hAnsi="方正仿宋_GBK" w:eastAsia="方正仿宋_GBK" w:cs="方正仿宋_GBK"/>
          <w:color w:val="000000"/>
          <w:kern w:val="0"/>
          <w:sz w:val="24"/>
          <w:szCs w:val="24"/>
          <w:highlight w:val="none"/>
          <w:lang w:val="en-US" w:eastAsia="zh-CN" w:bidi="zh-CN"/>
        </w:rPr>
        <w:t>书面或电话告知甲方收货联系人，便于甲方验收准备。</w:t>
      </w:r>
    </w:p>
    <w:p w14:paraId="448D1476">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3、交货地点：甲方指定地点（以供货通知为准）。</w:t>
      </w:r>
    </w:p>
    <w:p w14:paraId="182CE41C">
      <w:pPr>
        <w:autoSpaceDE w:val="0"/>
        <w:autoSpaceDN w:val="0"/>
        <w:spacing w:line="460" w:lineRule="atLeast"/>
        <w:ind w:firstLine="480" w:firstLineChars="200"/>
        <w:jc w:val="left"/>
        <w:rPr>
          <w:rFonts w:hint="default"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4、联系人信息</w:t>
      </w:r>
    </w:p>
    <w:p w14:paraId="610601F5">
      <w:pPr>
        <w:autoSpaceDE w:val="0"/>
        <w:autoSpaceDN w:val="0"/>
        <w:spacing w:line="460" w:lineRule="atLeast"/>
        <w:ind w:firstLine="480" w:firstLineChars="200"/>
        <w:jc w:val="left"/>
        <w:rPr>
          <w:rFonts w:hint="default"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甲方联系人：</w:t>
      </w:r>
    </w:p>
    <w:p w14:paraId="4A7ED868">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乙方联系人：</w:t>
      </w:r>
    </w:p>
    <w:p w14:paraId="5E5B823F">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5、费用承担：运输、装卸、安装、保险、搬运、二次转运等所有费用均包含在合同单价内，甲方不另行支付。</w:t>
      </w:r>
    </w:p>
    <w:p w14:paraId="37D5B1F7">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6、风险转移：货物交付至甲方并验收合格前，毁损、灭失风险由乙方承担；验收合格后风险转移至甲方。</w:t>
      </w:r>
    </w:p>
    <w:p w14:paraId="30EF7A99">
      <w:pPr>
        <w:spacing w:line="360" w:lineRule="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四、验收标准与流程</w:t>
      </w:r>
    </w:p>
    <w:p w14:paraId="2C71D3A8">
      <w:pPr>
        <w:autoSpaceDE w:val="0"/>
        <w:autoSpaceDN w:val="0"/>
        <w:spacing w:line="460" w:lineRule="atLeast"/>
        <w:ind w:firstLine="480" w:firstLineChars="200"/>
        <w:jc w:val="left"/>
        <w:rPr>
          <w:rFonts w:hint="default" w:ascii="方正仿宋_GBK" w:hAnsi="方正仿宋_GBK" w:eastAsia="方正仿宋_GBK" w:cs="方正仿宋_GBK"/>
          <w:color w:val="000000"/>
          <w:kern w:val="0"/>
          <w:sz w:val="24"/>
          <w:szCs w:val="24"/>
          <w:highlight w:val="none"/>
          <w:lang w:val="en-US" w:eastAsia="zh-CN" w:bidi="zh-CN"/>
        </w:rPr>
      </w:pPr>
      <w:commentRangeStart w:id="0"/>
      <w:r>
        <w:rPr>
          <w:rFonts w:hint="eastAsia" w:ascii="方正仿宋_GBK" w:hAnsi="方正仿宋_GBK" w:eastAsia="方正仿宋_GBK" w:cs="方正仿宋_GBK"/>
          <w:color w:val="000000"/>
          <w:kern w:val="0"/>
          <w:sz w:val="24"/>
          <w:szCs w:val="24"/>
          <w:highlight w:val="none"/>
          <w:lang w:val="en-US" w:eastAsia="zh-CN" w:bidi="zh-CN"/>
        </w:rPr>
        <w:t>1、验收依据：国标或行标及本合同约定。</w:t>
      </w:r>
      <w:commentRangeEnd w:id="0"/>
      <w:r>
        <w:rPr>
          <w:highlight w:val="none"/>
        </w:rPr>
        <w:commentReference w:id="0"/>
      </w:r>
      <w:r>
        <w:rPr>
          <w:rFonts w:hint="eastAsia" w:ascii="方正仿宋_GBK" w:hAnsi="方正仿宋_GBK" w:eastAsia="方正仿宋_GBK" w:cs="方正仿宋_GBK"/>
          <w:color w:val="000000"/>
          <w:kern w:val="0"/>
          <w:sz w:val="24"/>
          <w:szCs w:val="24"/>
          <w:highlight w:val="none"/>
          <w:lang w:val="en-US" w:eastAsia="zh-CN" w:bidi="zh-CN"/>
        </w:rPr>
        <w:t>具体内容详见合同附件《</w:t>
      </w:r>
      <w:r>
        <w:rPr>
          <w:rFonts w:hint="eastAsia" w:ascii="方正仿宋_GBK" w:hAnsi="方正仿宋_GBK" w:eastAsia="方正仿宋_GBK" w:cs="方正仿宋_GBK"/>
          <w:color w:val="000000"/>
          <w:kern w:val="0"/>
          <w:sz w:val="24"/>
          <w:szCs w:val="24"/>
          <w:highlight w:val="none"/>
          <w:lang w:bidi="zh-CN"/>
        </w:rPr>
        <w:t>技术参数与品牌要求</w:t>
      </w:r>
      <w:r>
        <w:rPr>
          <w:rFonts w:hint="eastAsia" w:ascii="方正仿宋_GBK" w:hAnsi="方正仿宋_GBK" w:eastAsia="方正仿宋_GBK" w:cs="方正仿宋_GBK"/>
          <w:color w:val="000000"/>
          <w:kern w:val="0"/>
          <w:sz w:val="24"/>
          <w:szCs w:val="24"/>
          <w:highlight w:val="none"/>
          <w:lang w:val="en-US" w:eastAsia="zh-CN" w:bidi="zh-CN"/>
        </w:rPr>
        <w:t>》。</w:t>
      </w:r>
    </w:p>
    <w:p w14:paraId="78549C1B">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2、验收资料：乙方须随货提供送货单等其他验收材料，资料不全或质量不符合要求的，甲方有权拒收，由此产生的费用由乙方全部承担。</w:t>
      </w:r>
    </w:p>
    <w:p w14:paraId="102E06BD">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3、验收时限：甲方收到货物后</w:t>
      </w:r>
      <w:r>
        <w:rPr>
          <w:rFonts w:hint="eastAsia" w:ascii="方正仿宋_GBK" w:hAnsi="方正仿宋_GBK" w:eastAsia="方正仿宋_GBK" w:cs="方正仿宋_GBK"/>
          <w:b w:val="0"/>
          <w:bCs/>
          <w:color w:val="000000"/>
          <w:sz w:val="24"/>
          <w:szCs w:val="24"/>
          <w:highlight w:val="none"/>
          <w:u w:val="single"/>
          <w:lang w:val="en-US" w:eastAsia="zh-CN"/>
        </w:rPr>
        <w:t xml:space="preserve"> 3 </w:t>
      </w:r>
      <w:r>
        <w:rPr>
          <w:rFonts w:hint="eastAsia" w:ascii="方正仿宋_GBK" w:hAnsi="方正仿宋_GBK" w:eastAsia="方正仿宋_GBK" w:cs="方正仿宋_GBK"/>
          <w:color w:val="000000"/>
          <w:kern w:val="0"/>
          <w:sz w:val="24"/>
          <w:szCs w:val="24"/>
          <w:highlight w:val="none"/>
          <w:lang w:val="en-US" w:eastAsia="zh-CN" w:bidi="zh-CN"/>
        </w:rPr>
        <w:t>个工作日内完成数量、外观、质量验收。</w:t>
      </w:r>
    </w:p>
    <w:p w14:paraId="06A82B19">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4、不合格处理：验收不合格的，乙方须在</w:t>
      </w:r>
      <w:r>
        <w:rPr>
          <w:rFonts w:hint="eastAsia" w:ascii="方正仿宋_GBK" w:hAnsi="方正仿宋_GBK" w:eastAsia="方正仿宋_GBK" w:cs="方正仿宋_GBK"/>
          <w:b w:val="0"/>
          <w:bCs/>
          <w:color w:val="000000"/>
          <w:sz w:val="24"/>
          <w:szCs w:val="24"/>
          <w:highlight w:val="none"/>
          <w:u w:val="single"/>
          <w:lang w:val="en-US" w:eastAsia="zh-CN"/>
        </w:rPr>
        <w:t xml:space="preserve"> 2日 </w:t>
      </w:r>
      <w:r>
        <w:rPr>
          <w:rFonts w:hint="eastAsia" w:ascii="方正仿宋_GBK" w:hAnsi="方正仿宋_GBK" w:eastAsia="方正仿宋_GBK" w:cs="方正仿宋_GBK"/>
          <w:color w:val="000000"/>
          <w:kern w:val="0"/>
          <w:sz w:val="24"/>
          <w:szCs w:val="24"/>
          <w:highlight w:val="none"/>
          <w:lang w:val="en-US" w:eastAsia="zh-CN" w:bidi="zh-CN"/>
        </w:rPr>
        <w:t>内无条件换货、补货，直至合格，产生的所有费用与工期延误由乙方承担。</w:t>
      </w:r>
    </w:p>
    <w:p w14:paraId="42DC1C0C">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5、验收确认：验收合格双方签署《货物验收单》，作为结算唯一有效依据。</w:t>
      </w:r>
    </w:p>
    <w:p w14:paraId="4EAF1761">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6、验收不免除乙方产品质量保证责任，质保期内出现质量问题，乙方仍须承担全部责任。</w:t>
      </w:r>
    </w:p>
    <w:p w14:paraId="44769C97">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 w:bidi="zh-CN"/>
          <w:woUserID w:val="1"/>
        </w:rPr>
      </w:pPr>
      <w:commentRangeStart w:id="1"/>
      <w:r>
        <w:rPr>
          <w:rFonts w:hint="eastAsia" w:ascii="方正仿宋_GBK" w:hAnsi="方正仿宋_GBK" w:eastAsia="方正仿宋_GBK" w:cs="方正仿宋_GBK"/>
          <w:color w:val="000000"/>
          <w:kern w:val="0"/>
          <w:sz w:val="24"/>
          <w:szCs w:val="24"/>
          <w:highlight w:val="none"/>
          <w:lang w:val="en-US" w:eastAsia="zh" w:bidi="zh-CN"/>
          <w:woUserID w:val="1"/>
        </w:rPr>
        <w:t>7、</w:t>
      </w:r>
      <w:r>
        <w:rPr>
          <w:rFonts w:hint="eastAsia" w:ascii="方正仿宋_GBK" w:hAnsi="方正仿宋_GBK" w:eastAsia="方正仿宋_GBK" w:cs="方正仿宋_GBK"/>
          <w:color w:val="000000"/>
          <w:kern w:val="0"/>
          <w:sz w:val="24"/>
          <w:highlight w:val="none"/>
          <w:lang w:eastAsia="zh" w:bidi="zh-CN"/>
          <w:woUserID w:val="1"/>
        </w:rPr>
        <w:t>合同履行期内，</w:t>
      </w:r>
      <w:r>
        <w:rPr>
          <w:rFonts w:hint="eastAsia" w:ascii="方正仿宋_GBK" w:hAnsi="方正仿宋_GBK" w:eastAsia="方正仿宋_GBK" w:cs="方正仿宋_GBK"/>
          <w:color w:val="000000"/>
          <w:kern w:val="0"/>
          <w:sz w:val="24"/>
          <w:highlight w:val="none"/>
          <w:lang w:val="en-US" w:eastAsia="zh" w:bidi="zh-CN"/>
          <w:woUserID w:val="1"/>
        </w:rPr>
        <w:t>乙方</w:t>
      </w:r>
      <w:r>
        <w:rPr>
          <w:rFonts w:hint="eastAsia" w:ascii="方正仿宋_GBK" w:hAnsi="方正仿宋_GBK" w:eastAsia="方正仿宋_GBK" w:cs="方正仿宋_GBK"/>
          <w:color w:val="000000"/>
          <w:kern w:val="0"/>
          <w:sz w:val="24"/>
          <w:highlight w:val="none"/>
          <w:lang w:eastAsia="zh" w:bidi="zh-CN"/>
          <w:woUserID w:val="1"/>
        </w:rPr>
        <w:t>提供规格、质量不低于原约定档次的产品，经</w:t>
      </w:r>
      <w:r>
        <w:rPr>
          <w:rFonts w:hint="eastAsia" w:ascii="方正仿宋_GBK" w:hAnsi="方正仿宋_GBK" w:eastAsia="方正仿宋_GBK" w:cs="方正仿宋_GBK"/>
          <w:color w:val="000000"/>
          <w:kern w:val="0"/>
          <w:sz w:val="24"/>
          <w:highlight w:val="none"/>
          <w:lang w:val="en-US" w:eastAsia="zh" w:bidi="zh-CN"/>
          <w:woUserID w:val="1"/>
        </w:rPr>
        <w:t>甲</w:t>
      </w:r>
      <w:r>
        <w:rPr>
          <w:rFonts w:hint="eastAsia" w:ascii="方正仿宋_GBK" w:hAnsi="方正仿宋_GBK" w:eastAsia="方正仿宋_GBK" w:cs="方正仿宋_GBK"/>
          <w:color w:val="000000"/>
          <w:kern w:val="0"/>
          <w:sz w:val="24"/>
          <w:highlight w:val="none"/>
          <w:lang w:eastAsia="zh" w:bidi="zh-CN"/>
          <w:woUserID w:val="1"/>
        </w:rPr>
        <w:t>方确认后，视为符合合同要求。价格仍按照合同约定的单价执行。</w:t>
      </w:r>
      <w:commentRangeEnd w:id="1"/>
      <w:r>
        <w:rPr>
          <w:highlight w:val="none"/>
        </w:rPr>
        <w:commentReference w:id="1"/>
      </w:r>
    </w:p>
    <w:p w14:paraId="7AF33718">
      <w:pPr>
        <w:spacing w:line="360" w:lineRule="auto"/>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b/>
          <w:bCs/>
          <w:color w:val="auto"/>
          <w:sz w:val="28"/>
          <w:szCs w:val="28"/>
          <w:highlight w:val="none"/>
          <w:lang w:val="en-US" w:eastAsia="zh-CN"/>
        </w:rPr>
        <w:t>五、合同价款与开票要求</w:t>
      </w:r>
    </w:p>
    <w:p w14:paraId="7FC0B183">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1、本合同为固定单价合同，合同约定的固定单价已包含货物价款、运输、装卸、保险、检测、税费、人工、风险等全部费用，除此之外，甲方无需支付任何其他费用。</w:t>
      </w:r>
    </w:p>
    <w:p w14:paraId="529FACA2">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2、本合同结算价 = ∑甲方实际接收并验收合格的产品数量 × 合同约定的对应固定单价。</w:t>
      </w:r>
    </w:p>
    <w:p w14:paraId="6D5CC0B0">
      <w:pPr>
        <w:spacing w:line="360" w:lineRule="auto"/>
        <w:ind w:firstLine="480" w:firstLineChars="200"/>
        <w:rPr>
          <w:rFonts w:hint="default" w:ascii="仿宋" w:hAnsi="仿宋" w:eastAsia="仿宋" w:cs="Times New Roman"/>
          <w:sz w:val="24"/>
          <w:szCs w:val="24"/>
          <w:highlight w:val="none"/>
          <w:lang w:val="en-US" w:eastAsia="zh-CN"/>
        </w:rPr>
      </w:pPr>
      <w:r>
        <w:rPr>
          <w:rFonts w:hint="eastAsia" w:ascii="仿宋" w:hAnsi="仿宋" w:eastAsia="仿宋" w:cs="Times New Roman"/>
          <w:sz w:val="24"/>
          <w:szCs w:val="24"/>
          <w:highlight w:val="none"/>
          <w:lang w:val="en-US" w:eastAsia="zh-CN"/>
        </w:rPr>
        <w:t>2.1涂白剂：含税单价</w:t>
      </w:r>
      <w:r>
        <w:rPr>
          <w:rFonts w:hint="eastAsia" w:ascii="仿宋" w:hAnsi="仿宋" w:eastAsia="仿宋" w:cs="Times New Roman"/>
          <w:sz w:val="24"/>
          <w:szCs w:val="24"/>
          <w:highlight w:val="none"/>
          <w:lang w:eastAsia="zh-CN"/>
        </w:rPr>
        <w:t>：</w:t>
      </w:r>
      <w:r>
        <w:rPr>
          <w:rFonts w:hint="eastAsia" w:ascii="仿宋" w:hAnsi="仿宋" w:eastAsia="仿宋" w:cs="Times New Roman"/>
          <w:sz w:val="24"/>
          <w:szCs w:val="24"/>
          <w:highlight w:val="none"/>
          <w:lang w:val="en-US" w:eastAsia="zh-CN"/>
        </w:rPr>
        <w:t>大写：</w:t>
      </w:r>
      <w:r>
        <w:rPr>
          <w:rFonts w:hint="eastAsia" w:ascii="仿宋" w:hAnsi="仿宋" w:eastAsia="仿宋" w:cs="Times New Roman"/>
          <w:sz w:val="24"/>
          <w:szCs w:val="24"/>
          <w:highlight w:val="none"/>
          <w:u w:val="single"/>
          <w:lang w:val="en-US" w:eastAsia="zh-CN"/>
        </w:rPr>
        <w:t xml:space="preserve">       </w:t>
      </w:r>
      <w:r>
        <w:rPr>
          <w:rFonts w:hint="eastAsia" w:ascii="仿宋" w:hAnsi="仿宋" w:eastAsia="仿宋" w:cs="Times New Roman"/>
          <w:sz w:val="24"/>
          <w:szCs w:val="24"/>
          <w:highlight w:val="none"/>
          <w:lang w:val="en-US" w:eastAsia="zh-CN"/>
        </w:rPr>
        <w:t xml:space="preserve"> 元/吨；小写：</w:t>
      </w:r>
      <w:r>
        <w:rPr>
          <w:rFonts w:hint="eastAsia" w:ascii="仿宋" w:hAnsi="仿宋" w:eastAsia="仿宋" w:cs="Times New Roman"/>
          <w:sz w:val="24"/>
          <w:szCs w:val="24"/>
          <w:highlight w:val="none"/>
          <w:u w:val="single"/>
          <w:lang w:val="en-US" w:eastAsia="zh-CN"/>
        </w:rPr>
        <w:t xml:space="preserve">     </w:t>
      </w:r>
      <w:r>
        <w:rPr>
          <w:rFonts w:hint="eastAsia" w:ascii="仿宋" w:hAnsi="仿宋" w:eastAsia="仿宋" w:cs="Times New Roman"/>
          <w:sz w:val="24"/>
          <w:szCs w:val="24"/>
          <w:highlight w:val="none"/>
          <w:lang w:val="en-US" w:eastAsia="zh-CN"/>
        </w:rPr>
        <w:t>元/吨；税率：</w:t>
      </w:r>
      <w:r>
        <w:rPr>
          <w:rFonts w:hint="eastAsia" w:ascii="仿宋" w:hAnsi="仿宋" w:eastAsia="仿宋" w:cs="Times New Roman"/>
          <w:sz w:val="24"/>
          <w:szCs w:val="24"/>
          <w:highlight w:val="none"/>
          <w:u w:val="single"/>
          <w:lang w:val="en-US" w:eastAsia="zh-CN"/>
        </w:rPr>
        <w:t xml:space="preserve">     </w:t>
      </w:r>
      <w:r>
        <w:rPr>
          <w:rFonts w:hint="eastAsia" w:ascii="仿宋" w:hAnsi="仿宋" w:eastAsia="仿宋" w:cs="Times New Roman"/>
          <w:sz w:val="24"/>
          <w:szCs w:val="24"/>
          <w:highlight w:val="none"/>
          <w:lang w:val="en-US" w:eastAsia="zh-CN"/>
        </w:rPr>
        <w:t xml:space="preserve"> %。</w:t>
      </w:r>
    </w:p>
    <w:p w14:paraId="1DB3D59F">
      <w:pPr>
        <w:spacing w:line="360" w:lineRule="auto"/>
        <w:ind w:firstLine="480" w:firstLineChars="200"/>
        <w:rPr>
          <w:rFonts w:hint="default" w:ascii="仿宋" w:hAnsi="仿宋" w:eastAsia="仿宋" w:cs="Times New Roman"/>
          <w:sz w:val="24"/>
          <w:szCs w:val="24"/>
          <w:highlight w:val="none"/>
          <w:lang w:val="en-US" w:eastAsia="zh-CN"/>
        </w:rPr>
      </w:pPr>
      <w:r>
        <w:rPr>
          <w:rFonts w:hint="eastAsia" w:ascii="仿宋" w:hAnsi="仿宋" w:eastAsia="仿宋" w:cs="Times New Roman"/>
          <w:sz w:val="24"/>
          <w:szCs w:val="24"/>
          <w:highlight w:val="none"/>
          <w:lang w:val="en-US" w:eastAsia="zh-CN"/>
        </w:rPr>
        <w:t>2.2保温棉：含税单价</w:t>
      </w:r>
      <w:r>
        <w:rPr>
          <w:rFonts w:hint="eastAsia" w:ascii="仿宋" w:hAnsi="仿宋" w:eastAsia="仿宋" w:cs="Times New Roman"/>
          <w:sz w:val="24"/>
          <w:szCs w:val="24"/>
          <w:highlight w:val="none"/>
          <w:lang w:eastAsia="zh-CN"/>
        </w:rPr>
        <w:t>：</w:t>
      </w:r>
      <w:r>
        <w:rPr>
          <w:rFonts w:hint="eastAsia" w:ascii="仿宋" w:hAnsi="仿宋" w:eastAsia="仿宋" w:cs="Times New Roman"/>
          <w:sz w:val="24"/>
          <w:szCs w:val="24"/>
          <w:highlight w:val="none"/>
          <w:lang w:val="en-US" w:eastAsia="zh-CN"/>
        </w:rPr>
        <w:t>大写：</w:t>
      </w:r>
      <w:r>
        <w:rPr>
          <w:rFonts w:hint="eastAsia" w:ascii="仿宋" w:hAnsi="仿宋" w:eastAsia="仿宋" w:cs="Times New Roman"/>
          <w:sz w:val="24"/>
          <w:szCs w:val="24"/>
          <w:highlight w:val="none"/>
          <w:u w:val="single"/>
          <w:lang w:val="en-US" w:eastAsia="zh-CN"/>
        </w:rPr>
        <w:t xml:space="preserve">       </w:t>
      </w:r>
      <w:r>
        <w:rPr>
          <w:rFonts w:hint="eastAsia" w:ascii="仿宋" w:hAnsi="仿宋" w:eastAsia="仿宋" w:cs="Times New Roman"/>
          <w:sz w:val="24"/>
          <w:szCs w:val="24"/>
          <w:highlight w:val="none"/>
          <w:lang w:val="en-US" w:eastAsia="zh-CN"/>
        </w:rPr>
        <w:t xml:space="preserve"> 元/袋；小写：</w:t>
      </w:r>
      <w:r>
        <w:rPr>
          <w:rFonts w:hint="eastAsia" w:ascii="仿宋" w:hAnsi="仿宋" w:eastAsia="仿宋" w:cs="Times New Roman"/>
          <w:sz w:val="24"/>
          <w:szCs w:val="24"/>
          <w:highlight w:val="none"/>
          <w:u w:val="single"/>
          <w:lang w:val="en-US" w:eastAsia="zh-CN"/>
        </w:rPr>
        <w:t xml:space="preserve">     </w:t>
      </w:r>
      <w:r>
        <w:rPr>
          <w:rFonts w:hint="eastAsia" w:ascii="仿宋" w:hAnsi="仿宋" w:eastAsia="仿宋" w:cs="Times New Roman"/>
          <w:sz w:val="24"/>
          <w:szCs w:val="24"/>
          <w:highlight w:val="none"/>
          <w:lang w:val="en-US" w:eastAsia="zh-CN"/>
        </w:rPr>
        <w:t>元/袋；税率：</w:t>
      </w:r>
      <w:r>
        <w:rPr>
          <w:rFonts w:hint="eastAsia" w:ascii="仿宋" w:hAnsi="仿宋" w:eastAsia="仿宋" w:cs="Times New Roman"/>
          <w:sz w:val="24"/>
          <w:szCs w:val="24"/>
          <w:highlight w:val="none"/>
          <w:u w:val="single"/>
          <w:lang w:val="en-US" w:eastAsia="zh-CN"/>
        </w:rPr>
        <w:t xml:space="preserve">     </w:t>
      </w:r>
      <w:r>
        <w:rPr>
          <w:rFonts w:hint="eastAsia" w:ascii="仿宋" w:hAnsi="仿宋" w:eastAsia="仿宋" w:cs="Times New Roman"/>
          <w:sz w:val="24"/>
          <w:szCs w:val="24"/>
          <w:highlight w:val="none"/>
          <w:lang w:val="en-US" w:eastAsia="zh-CN"/>
        </w:rPr>
        <w:t xml:space="preserve"> %。</w:t>
      </w:r>
    </w:p>
    <w:p w14:paraId="1A5DDA17">
      <w:pPr>
        <w:spacing w:line="360" w:lineRule="auto"/>
        <w:ind w:firstLine="480" w:firstLineChars="200"/>
        <w:rPr>
          <w:rFonts w:hint="eastAsia" w:ascii="仿宋" w:hAnsi="仿宋" w:eastAsia="仿宋" w:cs="Times New Roman"/>
          <w:sz w:val="24"/>
          <w:szCs w:val="24"/>
          <w:highlight w:val="none"/>
          <w:lang w:val="en-US" w:eastAsia="zh-CN"/>
        </w:rPr>
      </w:pPr>
      <w:r>
        <w:rPr>
          <w:rFonts w:hint="eastAsia" w:ascii="仿宋" w:hAnsi="仿宋" w:eastAsia="仿宋" w:cs="Times New Roman"/>
          <w:sz w:val="24"/>
          <w:szCs w:val="24"/>
          <w:highlight w:val="none"/>
          <w:lang w:val="en-US" w:eastAsia="zh-CN"/>
        </w:rPr>
        <w:t>2.3保温膜：含税单价：大写：        元/卷；小写：     元/卷；税率：      %。</w:t>
      </w:r>
    </w:p>
    <w:p w14:paraId="11A1F645">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合同暂定含税总价为：xxxx元，大写xxx元。合同中的“暂定数量”，仅为预估量，不对甲方构成最低采购义务约束。甲方最终按实际下单数量结算即可。</w:t>
      </w:r>
    </w:p>
    <w:p w14:paraId="03D5FFA9">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3、开票要求：双方约定使用增值税专用发票，税率</w:t>
      </w:r>
      <w:r>
        <w:rPr>
          <w:rFonts w:hint="eastAsia" w:ascii="方正仿宋_GBK" w:hAnsi="方正仿宋_GBK" w:eastAsia="方正仿宋_GBK" w:cs="方正仿宋_GBK"/>
          <w:color w:val="000000"/>
          <w:kern w:val="0"/>
          <w:sz w:val="24"/>
          <w:szCs w:val="24"/>
          <w:highlight w:val="none"/>
          <w:u w:val="single"/>
          <w:lang w:val="en-US" w:eastAsia="zh-CN" w:bidi="zh-CN"/>
        </w:rPr>
        <w:t xml:space="preserve">     </w:t>
      </w:r>
      <w:r>
        <w:rPr>
          <w:rFonts w:hint="eastAsia" w:ascii="方正仿宋_GBK" w:hAnsi="方正仿宋_GBK" w:eastAsia="方正仿宋_GBK" w:cs="方正仿宋_GBK"/>
          <w:color w:val="000000"/>
          <w:kern w:val="0"/>
          <w:sz w:val="24"/>
          <w:szCs w:val="24"/>
          <w:highlight w:val="none"/>
          <w:lang w:val="en-US" w:eastAsia="zh-CN" w:bidi="zh-CN"/>
        </w:rPr>
        <w:t>%。乙方须开具合法有效增值税专用发票，发票信息准确无误，不符合要求的发票甲方有权退回，付款顺延。</w:t>
      </w:r>
    </w:p>
    <w:p w14:paraId="66B429BF">
      <w:pPr>
        <w:autoSpaceDE w:val="0"/>
        <w:autoSpaceDN w:val="0"/>
        <w:spacing w:line="460" w:lineRule="atLeast"/>
        <w:ind w:firstLine="480" w:firstLineChars="200"/>
        <w:jc w:val="left"/>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kern w:val="0"/>
          <w:sz w:val="24"/>
          <w:szCs w:val="24"/>
          <w:highlight w:val="none"/>
          <w:lang w:val="en-US" w:eastAsia="zh-CN" w:bidi="zh-CN"/>
        </w:rPr>
        <w:t>4、国家增值税税率调整的</w:t>
      </w:r>
      <w:bookmarkStart w:id="110" w:name="_GoBack"/>
      <w:bookmarkEnd w:id="110"/>
      <w:r>
        <w:rPr>
          <w:rFonts w:hint="eastAsia" w:ascii="方正仿宋_GBK" w:hAnsi="方正仿宋_GBK" w:eastAsia="方正仿宋_GBK" w:cs="方正仿宋_GBK"/>
          <w:color w:val="000000"/>
          <w:kern w:val="0"/>
          <w:sz w:val="24"/>
          <w:szCs w:val="24"/>
          <w:highlight w:val="none"/>
          <w:lang w:val="en-US" w:eastAsia="zh-CN" w:bidi="zh-CN"/>
        </w:rPr>
        <w:t>，以未开票部分不含税价格为基数据实调整。</w:t>
      </w:r>
    </w:p>
    <w:p w14:paraId="3E780594">
      <w:pPr>
        <w:keepNext w:val="0"/>
        <w:keepLines w:val="0"/>
        <w:pageBreakBefore w:val="0"/>
        <w:widowControl w:val="0"/>
        <w:kinsoku/>
        <w:wordWrap/>
        <w:overflowPunct/>
        <w:topLinePunct w:val="0"/>
        <w:autoSpaceDE/>
        <w:autoSpaceDN/>
        <w:bidi w:val="0"/>
        <w:adjustRightInd/>
        <w:snapToGrid/>
        <w:spacing w:before="0" w:beforeLines="50" w:line="360" w:lineRule="auto"/>
        <w:textAlignment w:val="auto"/>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六、付款方式</w:t>
      </w:r>
    </w:p>
    <w:p w14:paraId="1EEFB804">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1、本合同货款采用分期结算的方式。按批次货物送达甲方指定地点并经验收合格，乙方提供相应付款资料，经甲方审核无误后30个工作日内支付该批次货物价款的95%，最后一批次货物质保期满，无质量问题，</w:t>
      </w:r>
      <w:r>
        <w:rPr>
          <w:rFonts w:hint="eastAsia" w:ascii="方正仿宋_GBK" w:hAnsi="方正仿宋_GBK" w:eastAsia="方正仿宋_GBK" w:cs="方正仿宋_GBK"/>
          <w:color w:val="000000"/>
          <w:kern w:val="0"/>
          <w:sz w:val="24"/>
          <w:szCs w:val="24"/>
          <w:highlight w:val="yellow"/>
          <w:lang w:val="en-US" w:eastAsia="zh-CN" w:bidi="zh-CN"/>
        </w:rPr>
        <w:t>余款一次性无息付清</w:t>
      </w:r>
      <w:r>
        <w:rPr>
          <w:rFonts w:hint="eastAsia" w:ascii="方正仿宋_GBK" w:hAnsi="方正仿宋_GBK" w:eastAsia="方正仿宋_GBK" w:cs="方正仿宋_GBK"/>
          <w:color w:val="000000"/>
          <w:kern w:val="0"/>
          <w:sz w:val="24"/>
          <w:szCs w:val="24"/>
          <w:highlight w:val="none"/>
          <w:lang w:val="en-US" w:eastAsia="zh-CN" w:bidi="zh-CN"/>
        </w:rPr>
        <w:t>。</w:t>
      </w:r>
    </w:p>
    <w:p w14:paraId="4C7006DF">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2、乙方未按要求提供发票、发票不合格或未完成验收的，甲方有权暂缓付款，不承担违约责任。</w:t>
      </w:r>
    </w:p>
    <w:p w14:paraId="7B526B35">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3、付款方式：付款方式由甲方决定，可采用银行转账、票据、信用证、供应链金融产品等种或多种组合方式支付。甲方选择票据、供应链金融产品等非现金方式支付时，应提前书面通知乙方并取得乙方书面确认。乙方书面确认后，视为双方对该笔款项的支付方式达成一致。因票据、供应链金融支付产生的贴现相关费用，在乙方书面确认接受该支付方式且该支付方式的付款期限不超过合同约定现金付款期限的前提下，由乙方承担。</w:t>
      </w:r>
    </w:p>
    <w:p w14:paraId="54DF7B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sz w:val="24"/>
          <w:highlight w:val="none"/>
          <w:lang w:val="en-US" w:eastAsia="zh-CN"/>
        </w:rPr>
        <w:t>4、</w:t>
      </w:r>
      <w:r>
        <w:rPr>
          <w:rFonts w:hint="eastAsia" w:ascii="方正仿宋_GBK" w:hAnsi="方正仿宋_GBK" w:eastAsia="方正仿宋_GBK" w:cs="方正仿宋_GBK"/>
          <w:color w:val="000000"/>
          <w:sz w:val="24"/>
          <w:szCs w:val="24"/>
          <w:highlight w:val="none"/>
        </w:rPr>
        <w:t>乙方账户信息</w:t>
      </w:r>
    </w:p>
    <w:p w14:paraId="7153C82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480" w:firstLineChars="200"/>
        <w:jc w:val="left"/>
        <w:textAlignment w:val="auto"/>
        <w:rPr>
          <w:rFonts w:hint="default" w:ascii="方正仿宋_GBK" w:hAnsi="方正仿宋_GBK" w:eastAsia="方正仿宋_GBK" w:cs="方正仿宋_GBK"/>
          <w:color w:val="000000"/>
          <w:sz w:val="24"/>
          <w:szCs w:val="24"/>
          <w:highlight w:val="none"/>
          <w:u w:val="single"/>
          <w:lang w:val="en-US" w:eastAsia="zh-CN"/>
        </w:rPr>
      </w:pPr>
      <w:r>
        <w:rPr>
          <w:rFonts w:hint="eastAsia" w:ascii="方正仿宋_GBK" w:hAnsi="方正仿宋_GBK" w:eastAsia="方正仿宋_GBK" w:cs="方正仿宋_GBK"/>
          <w:color w:val="000000"/>
          <w:sz w:val="24"/>
          <w:szCs w:val="24"/>
          <w:highlight w:val="none"/>
        </w:rPr>
        <w:t>户名：</w:t>
      </w:r>
      <w:r>
        <w:rPr>
          <w:rFonts w:hint="eastAsia" w:ascii="方正仿宋_GBK" w:hAnsi="方正仿宋_GBK" w:eastAsia="方正仿宋_GBK" w:cs="方正仿宋_GBK"/>
          <w:color w:val="000000"/>
          <w:sz w:val="24"/>
          <w:szCs w:val="24"/>
          <w:highlight w:val="none"/>
          <w:u w:val="single"/>
          <w:lang w:val="en-US" w:eastAsia="zh-CN"/>
        </w:rPr>
        <w:t xml:space="preserve">                      </w:t>
      </w:r>
    </w:p>
    <w:p w14:paraId="60F4B13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480" w:firstLineChars="200"/>
        <w:jc w:val="left"/>
        <w:textAlignment w:val="auto"/>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rPr>
        <w:t>开户行：</w:t>
      </w:r>
      <w:r>
        <w:rPr>
          <w:rFonts w:hint="eastAsia" w:ascii="方正仿宋_GBK" w:hAnsi="方正仿宋_GBK" w:eastAsia="方正仿宋_GBK" w:cs="方正仿宋_GBK"/>
          <w:color w:val="000000"/>
          <w:sz w:val="24"/>
          <w:szCs w:val="24"/>
          <w:highlight w:val="none"/>
          <w:u w:val="single"/>
          <w:lang w:val="en-US" w:eastAsia="zh-CN"/>
        </w:rPr>
        <w:t xml:space="preserve">                        </w:t>
      </w:r>
    </w:p>
    <w:p w14:paraId="5DB56C0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480" w:firstLineChars="200"/>
        <w:jc w:val="left"/>
        <w:textAlignment w:val="auto"/>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rPr>
        <w:t>账号：</w:t>
      </w:r>
      <w:r>
        <w:rPr>
          <w:rFonts w:hint="eastAsia" w:ascii="方正仿宋_GBK" w:hAnsi="方正仿宋_GBK" w:eastAsia="方正仿宋_GBK" w:cs="方正仿宋_GBK"/>
          <w:color w:val="000000"/>
          <w:sz w:val="24"/>
          <w:szCs w:val="24"/>
          <w:highlight w:val="none"/>
          <w:u w:val="single"/>
          <w:lang w:val="en-US" w:eastAsia="zh-CN"/>
        </w:rPr>
        <w:t xml:space="preserve">                     </w:t>
      </w:r>
    </w:p>
    <w:p w14:paraId="37484B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sz w:val="24"/>
          <w:highlight w:val="none"/>
          <w:lang w:val="en-US" w:eastAsia="zh-CN"/>
        </w:rPr>
        <w:t>5、甲方开票信息</w:t>
      </w:r>
    </w:p>
    <w:p w14:paraId="1E98F5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发票抬头：</w:t>
      </w:r>
      <w:r>
        <w:rPr>
          <w:rFonts w:hint="eastAsia" w:ascii="方正仿宋_GBK" w:hAnsi="方正仿宋_GBK" w:eastAsia="方正仿宋_GBK" w:cs="方正仿宋_GBK"/>
          <w:color w:val="000000"/>
          <w:sz w:val="24"/>
          <w:szCs w:val="24"/>
          <w:highlight w:val="none"/>
          <w:u w:val="single"/>
          <w:lang w:val="en-US" w:eastAsia="zh-CN"/>
        </w:rPr>
        <w:t xml:space="preserve">                     </w:t>
      </w:r>
    </w:p>
    <w:p w14:paraId="5BC9619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default" w:ascii="方正仿宋_GBK" w:hAnsi="方正仿宋_GBK" w:eastAsia="方正仿宋_GBK" w:cs="方正仿宋_GBK"/>
          <w:color w:val="000000"/>
          <w:sz w:val="24"/>
          <w:szCs w:val="24"/>
          <w:highlight w:val="none"/>
          <w:u w:val="single"/>
          <w:lang w:val="en-US" w:eastAsia="zh-CN"/>
        </w:rPr>
      </w:pPr>
      <w:r>
        <w:rPr>
          <w:rFonts w:hint="eastAsia" w:ascii="方正仿宋_GBK" w:hAnsi="方正仿宋_GBK" w:eastAsia="方正仿宋_GBK" w:cs="方正仿宋_GBK"/>
          <w:color w:val="000000"/>
          <w:sz w:val="24"/>
          <w:szCs w:val="24"/>
          <w:highlight w:val="none"/>
          <w:lang w:val="en-US" w:eastAsia="zh-CN"/>
        </w:rPr>
        <w:t>纳税人识别号：</w:t>
      </w:r>
      <w:r>
        <w:rPr>
          <w:rFonts w:hint="eastAsia" w:ascii="方正仿宋_GBK" w:hAnsi="方正仿宋_GBK" w:eastAsia="方正仿宋_GBK" w:cs="方正仿宋_GBK"/>
          <w:color w:val="000000"/>
          <w:sz w:val="24"/>
          <w:szCs w:val="24"/>
          <w:highlight w:val="none"/>
          <w:u w:val="single"/>
          <w:lang w:val="en-US" w:eastAsia="zh-CN"/>
        </w:rPr>
        <w:t xml:space="preserve">                       </w:t>
      </w:r>
    </w:p>
    <w:p w14:paraId="771C6F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default"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开户账户：</w:t>
      </w:r>
      <w:r>
        <w:rPr>
          <w:rFonts w:hint="eastAsia" w:ascii="方正仿宋_GBK" w:hAnsi="方正仿宋_GBK" w:eastAsia="方正仿宋_GBK" w:cs="方正仿宋_GBK"/>
          <w:color w:val="000000"/>
          <w:sz w:val="24"/>
          <w:szCs w:val="24"/>
          <w:highlight w:val="none"/>
          <w:u w:val="single"/>
          <w:lang w:val="en-US" w:eastAsia="zh-CN"/>
        </w:rPr>
        <w:t xml:space="preserve">                                </w:t>
      </w:r>
    </w:p>
    <w:p w14:paraId="0DD106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eastAsia"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u w:val="none"/>
          <w:lang w:val="en-US" w:eastAsia="zh-CN"/>
        </w:rPr>
        <w:t>开户行：</w:t>
      </w:r>
      <w:r>
        <w:rPr>
          <w:rFonts w:hint="eastAsia" w:ascii="方正仿宋_GBK" w:hAnsi="方正仿宋_GBK" w:eastAsia="方正仿宋_GBK" w:cs="方正仿宋_GBK"/>
          <w:color w:val="000000"/>
          <w:sz w:val="24"/>
          <w:szCs w:val="24"/>
          <w:highlight w:val="none"/>
          <w:u w:val="single"/>
          <w:lang w:val="en-US" w:eastAsia="zh-CN"/>
        </w:rPr>
        <w:t xml:space="preserve">                     </w:t>
      </w:r>
    </w:p>
    <w:p w14:paraId="345C26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eastAsia" w:ascii="方正仿宋_GBK" w:hAnsi="方正仿宋_GBK" w:eastAsia="方正仿宋_GBK" w:cs="方正仿宋_GBK"/>
          <w:color w:val="000000"/>
          <w:sz w:val="24"/>
          <w:szCs w:val="24"/>
          <w:highlight w:val="none"/>
          <w:u w:val="single"/>
          <w:lang w:val="en-US" w:eastAsia="zh-CN"/>
        </w:rPr>
      </w:pPr>
      <w:r>
        <w:rPr>
          <w:rFonts w:hint="eastAsia" w:ascii="方正仿宋_GBK" w:hAnsi="方正仿宋_GBK" w:eastAsia="方正仿宋_GBK" w:cs="方正仿宋_GBK"/>
          <w:color w:val="000000"/>
          <w:sz w:val="24"/>
          <w:szCs w:val="24"/>
          <w:highlight w:val="none"/>
          <w:lang w:val="en-US" w:eastAsia="zh-CN"/>
        </w:rPr>
        <w:t>地址：</w:t>
      </w:r>
      <w:r>
        <w:rPr>
          <w:rFonts w:hint="eastAsia" w:ascii="方正仿宋_GBK" w:hAnsi="方正仿宋_GBK" w:eastAsia="方正仿宋_GBK" w:cs="方正仿宋_GBK"/>
          <w:color w:val="000000"/>
          <w:sz w:val="24"/>
          <w:szCs w:val="24"/>
          <w:highlight w:val="none"/>
          <w:u w:val="single"/>
          <w:lang w:val="en-US" w:eastAsia="zh-CN"/>
        </w:rPr>
        <w:t xml:space="preserve">                     </w:t>
      </w:r>
    </w:p>
    <w:p w14:paraId="6094506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left"/>
        <w:textAlignment w:val="auto"/>
        <w:rPr>
          <w:rFonts w:hint="default" w:ascii="方正仿宋_GBK" w:hAnsi="方正仿宋_GBK" w:eastAsia="方正仿宋_GBK" w:cs="方正仿宋_GBK"/>
          <w:color w:val="000000"/>
          <w:sz w:val="24"/>
          <w:szCs w:val="24"/>
          <w:highlight w:val="none"/>
          <w:lang w:val="en-US" w:eastAsia="zh-CN"/>
        </w:rPr>
      </w:pPr>
      <w:r>
        <w:rPr>
          <w:rFonts w:hint="eastAsia" w:ascii="方正仿宋_GBK" w:hAnsi="方正仿宋_GBK" w:eastAsia="方正仿宋_GBK" w:cs="方正仿宋_GBK"/>
          <w:color w:val="000000"/>
          <w:sz w:val="24"/>
          <w:szCs w:val="24"/>
          <w:highlight w:val="none"/>
          <w:lang w:val="en-US" w:eastAsia="zh-CN"/>
        </w:rPr>
        <w:t>电话：</w:t>
      </w:r>
      <w:r>
        <w:rPr>
          <w:rFonts w:hint="eastAsia" w:ascii="方正仿宋_GBK" w:hAnsi="方正仿宋_GBK" w:eastAsia="方正仿宋_GBK" w:cs="方正仿宋_GBK"/>
          <w:color w:val="000000"/>
          <w:sz w:val="24"/>
          <w:szCs w:val="24"/>
          <w:highlight w:val="none"/>
          <w:u w:val="single"/>
          <w:lang w:val="en-US" w:eastAsia="zh-CN"/>
        </w:rPr>
        <w:t xml:space="preserve">                             </w:t>
      </w:r>
    </w:p>
    <w:p w14:paraId="5F4112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ascii="方正仿宋_GBK" w:hAnsi="方正仿宋_GBK" w:eastAsia="方正仿宋_GBK" w:cs="方正仿宋_GBK"/>
          <w:b/>
          <w:bCs/>
          <w:color w:val="auto"/>
          <w:kern w:val="0"/>
          <w:sz w:val="28"/>
          <w:szCs w:val="28"/>
          <w:highlight w:val="none"/>
          <w:lang w:val="en-US" w:eastAsia="zh-CN" w:bidi="zh-CN"/>
        </w:rPr>
      </w:pPr>
      <w:r>
        <w:rPr>
          <w:rFonts w:hint="eastAsia" w:ascii="方正仿宋_GBK" w:hAnsi="方正仿宋_GBK" w:eastAsia="方正仿宋_GBK" w:cs="方正仿宋_GBK"/>
          <w:b/>
          <w:bCs/>
          <w:color w:val="auto"/>
          <w:kern w:val="0"/>
          <w:sz w:val="28"/>
          <w:szCs w:val="28"/>
          <w:highlight w:val="none"/>
          <w:lang w:val="en-US" w:eastAsia="zh-CN" w:bidi="zh-CN"/>
        </w:rPr>
        <w:t>七、质量保证与售后服务</w:t>
      </w:r>
    </w:p>
    <w:p w14:paraId="15AD6FA0">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1、乙方保证产品符合国家标准、行业标准及合同约定。</w:t>
      </w:r>
    </w:p>
    <w:p w14:paraId="5912CD95">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2、质保期：自甲方验收合格之日起</w:t>
      </w:r>
      <w:r>
        <w:rPr>
          <w:rFonts w:hint="eastAsia" w:ascii="方正仿宋_GBK" w:hAnsi="方正仿宋_GBK" w:eastAsia="方正仿宋_GBK" w:cs="方正仿宋_GBK"/>
          <w:b w:val="0"/>
          <w:bCs/>
          <w:color w:val="000000"/>
          <w:sz w:val="24"/>
          <w:szCs w:val="24"/>
          <w:highlight w:val="none"/>
          <w:u w:val="single"/>
          <w:lang w:val="en-US" w:eastAsia="zh-CN"/>
        </w:rPr>
        <w:t xml:space="preserve"> 6 </w:t>
      </w:r>
      <w:r>
        <w:rPr>
          <w:rFonts w:hint="eastAsia" w:ascii="方正仿宋_GBK" w:hAnsi="方正仿宋_GBK" w:eastAsia="方正仿宋_GBK" w:cs="方正仿宋_GBK"/>
          <w:color w:val="000000"/>
          <w:kern w:val="0"/>
          <w:sz w:val="24"/>
          <w:szCs w:val="24"/>
          <w:highlight w:val="none"/>
          <w:lang w:val="en-US" w:eastAsia="zh-CN" w:bidi="zh-CN"/>
        </w:rPr>
        <w:t>个月。</w:t>
      </w:r>
    </w:p>
    <w:p w14:paraId="2F5FAE34">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bidi="zh-CN"/>
        </w:rPr>
      </w:pPr>
      <w:r>
        <w:rPr>
          <w:rFonts w:hint="eastAsia" w:ascii="方正仿宋_GBK" w:hAnsi="方正仿宋_GBK" w:eastAsia="方正仿宋_GBK" w:cs="方正仿宋_GBK"/>
          <w:color w:val="000000"/>
          <w:kern w:val="0"/>
          <w:sz w:val="24"/>
          <w:szCs w:val="24"/>
          <w:highlight w:val="none"/>
          <w:lang w:val="en-US" w:eastAsia="zh-CN" w:bidi="zh-CN"/>
        </w:rPr>
        <w:t>3</w:t>
      </w:r>
      <w:r>
        <w:rPr>
          <w:rFonts w:hint="eastAsia" w:ascii="方正仿宋_GBK" w:hAnsi="方正仿宋_GBK" w:eastAsia="方正仿宋_GBK" w:cs="方正仿宋_GBK"/>
          <w:color w:val="000000"/>
          <w:kern w:val="0"/>
          <w:sz w:val="24"/>
          <w:szCs w:val="24"/>
          <w:highlight w:val="none"/>
          <w:lang w:bidi="zh-CN"/>
        </w:rPr>
        <w:t>、质保范围:本身原材料、生产制造质量缺陷，如涂白剂结块失效、保温棉破损开洞、保温膜脆裂、产品规格厚度不达标等制造质量问题，</w:t>
      </w:r>
      <w:r>
        <w:rPr>
          <w:rFonts w:hint="eastAsia" w:ascii="方正仿宋_GBK" w:hAnsi="方正仿宋_GBK" w:eastAsia="方正仿宋_GBK" w:cs="方正仿宋_GBK"/>
          <w:color w:val="000000"/>
          <w:kern w:val="0"/>
          <w:sz w:val="24"/>
          <w:szCs w:val="24"/>
          <w:highlight w:val="none"/>
          <w:lang w:val="en-US" w:bidi="zh-CN"/>
        </w:rPr>
        <w:t>乙方</w:t>
      </w:r>
      <w:r>
        <w:rPr>
          <w:rFonts w:hint="eastAsia" w:ascii="方正仿宋_GBK" w:hAnsi="方正仿宋_GBK" w:eastAsia="方正仿宋_GBK" w:cs="方正仿宋_GBK"/>
          <w:color w:val="000000"/>
          <w:kern w:val="0"/>
          <w:sz w:val="24"/>
          <w:szCs w:val="24"/>
          <w:highlight w:val="none"/>
          <w:lang w:bidi="zh-CN"/>
        </w:rPr>
        <w:t>在接到</w:t>
      </w:r>
      <w:r>
        <w:rPr>
          <w:rFonts w:hint="eastAsia" w:ascii="方正仿宋_GBK" w:hAnsi="方正仿宋_GBK" w:eastAsia="方正仿宋_GBK" w:cs="方正仿宋_GBK"/>
          <w:color w:val="000000"/>
          <w:kern w:val="0"/>
          <w:sz w:val="24"/>
          <w:szCs w:val="24"/>
          <w:highlight w:val="none"/>
          <w:lang w:val="en-US" w:bidi="zh-CN"/>
        </w:rPr>
        <w:t>甲方</w:t>
      </w:r>
      <w:r>
        <w:rPr>
          <w:rFonts w:hint="eastAsia" w:ascii="方正仿宋_GBK" w:hAnsi="方正仿宋_GBK" w:eastAsia="方正仿宋_GBK" w:cs="方正仿宋_GBK"/>
          <w:color w:val="000000"/>
          <w:kern w:val="0"/>
          <w:sz w:val="24"/>
          <w:szCs w:val="24"/>
          <w:highlight w:val="none"/>
          <w:lang w:bidi="zh-CN"/>
        </w:rPr>
        <w:t>通知后3个工作日内免费更换合格产品并承担全部运杂费。</w:t>
      </w:r>
    </w:p>
    <w:p w14:paraId="0093B0A0">
      <w:pPr>
        <w:autoSpaceDE w:val="0"/>
        <w:autoSpaceDN w:val="0"/>
        <w:spacing w:line="460" w:lineRule="atLeast"/>
        <w:ind w:firstLine="480" w:firstLineChars="200"/>
        <w:jc w:val="left"/>
        <w:rPr>
          <w:rFonts w:hint="default"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bidi="zh-CN"/>
        </w:rPr>
        <w:t>4、</w:t>
      </w:r>
      <w:r>
        <w:rPr>
          <w:rFonts w:hint="eastAsia" w:ascii="方正仿宋_GBK" w:hAnsi="方正仿宋_GBK" w:eastAsia="方正仿宋_GBK" w:cs="方正仿宋_GBK"/>
          <w:color w:val="000000"/>
          <w:kern w:val="0"/>
          <w:sz w:val="24"/>
          <w:szCs w:val="24"/>
          <w:highlight w:val="none"/>
          <w:lang w:bidi="zh-CN"/>
        </w:rPr>
        <w:t>质保期不受合同有效期约束，合同到期，但对应批次货物仍在质保期内的，</w:t>
      </w:r>
      <w:r>
        <w:rPr>
          <w:rFonts w:hint="eastAsia" w:ascii="方正仿宋_GBK" w:hAnsi="方正仿宋_GBK" w:eastAsia="方正仿宋_GBK" w:cs="方正仿宋_GBK"/>
          <w:color w:val="000000"/>
          <w:kern w:val="0"/>
          <w:sz w:val="24"/>
          <w:szCs w:val="24"/>
          <w:highlight w:val="none"/>
          <w:lang w:val="en-US" w:bidi="zh-CN"/>
        </w:rPr>
        <w:t>乙方</w:t>
      </w:r>
      <w:r>
        <w:rPr>
          <w:rFonts w:hint="eastAsia" w:ascii="方正仿宋_GBK" w:hAnsi="方正仿宋_GBK" w:eastAsia="方正仿宋_GBK" w:cs="方正仿宋_GBK"/>
          <w:color w:val="000000"/>
          <w:kern w:val="0"/>
          <w:sz w:val="24"/>
          <w:szCs w:val="24"/>
          <w:highlight w:val="none"/>
          <w:lang w:bidi="zh-CN"/>
        </w:rPr>
        <w:t>仍应履行质保义务。</w:t>
      </w:r>
    </w:p>
    <w:p w14:paraId="435C440C">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5、因产品质量问题造成甲方损失的，乙方须全额赔偿，并支付合同总额 5% 的违约金。</w:t>
      </w:r>
    </w:p>
    <w:p w14:paraId="4C3042B8">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6、乙方未履行售后义务的，须支付合同总额 5% 违约金，并赔偿甲方全部损失。</w:t>
      </w:r>
    </w:p>
    <w:p w14:paraId="35DE69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b/>
          <w:bCs/>
          <w:color w:val="auto"/>
          <w:kern w:val="0"/>
          <w:sz w:val="28"/>
          <w:szCs w:val="28"/>
          <w:highlight w:val="none"/>
          <w:lang w:val="en-US" w:eastAsia="zh-CN" w:bidi="zh-CN"/>
        </w:rPr>
        <w:t>八、双方权利与义务</w:t>
      </w:r>
    </w:p>
    <w:p w14:paraId="37F5F7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rPr>
        <w:t>（一）甲方权利义务</w:t>
      </w:r>
    </w:p>
    <w:p w14:paraId="2E5DD2A8">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1、按合同约定及时支付货款，提供供货需求与交货地点。</w:t>
      </w:r>
    </w:p>
    <w:p w14:paraId="2FADF721">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2、负责货物的接收、清点与验收工作。</w:t>
      </w:r>
    </w:p>
    <w:p w14:paraId="13C6160F">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zh-CN" w:eastAsia="zh-CN" w:bidi="zh-CN"/>
        </w:rPr>
        <w:t>3</w:t>
      </w:r>
      <w:r>
        <w:rPr>
          <w:rFonts w:hint="eastAsia" w:ascii="方正仿宋_GBK" w:hAnsi="方正仿宋_GBK" w:eastAsia="方正仿宋_GBK" w:cs="方正仿宋_GBK"/>
          <w:color w:val="000000"/>
          <w:kern w:val="0"/>
          <w:sz w:val="24"/>
          <w:szCs w:val="24"/>
          <w:highlight w:val="none"/>
          <w:lang w:val="en-US" w:eastAsia="zh-CN" w:bidi="zh-CN"/>
        </w:rPr>
        <w:t>、有权对货物质量、供货进度进行监督、检查。</w:t>
      </w:r>
    </w:p>
    <w:p w14:paraId="46682C2A">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zh-CN" w:eastAsia="zh-CN" w:bidi="zh-CN"/>
        </w:rPr>
        <w:t>4</w:t>
      </w:r>
      <w:r>
        <w:rPr>
          <w:rFonts w:hint="eastAsia" w:ascii="方正仿宋_GBK" w:hAnsi="方正仿宋_GBK" w:eastAsia="方正仿宋_GBK" w:cs="方正仿宋_GBK"/>
          <w:color w:val="000000"/>
          <w:kern w:val="0"/>
          <w:sz w:val="24"/>
          <w:szCs w:val="24"/>
          <w:highlight w:val="none"/>
          <w:lang w:val="en-US" w:eastAsia="zh-CN" w:bidi="zh-CN"/>
        </w:rPr>
        <w:t>、变更规格、数量、交货地点的，提前</w:t>
      </w:r>
      <w:r>
        <w:rPr>
          <w:rFonts w:hint="eastAsia" w:ascii="方正仿宋_GBK" w:hAnsi="方正仿宋_GBK" w:eastAsia="方正仿宋_GBK" w:cs="方正仿宋_GBK"/>
          <w:b w:val="0"/>
          <w:bCs/>
          <w:color w:val="000000"/>
          <w:sz w:val="24"/>
          <w:szCs w:val="24"/>
          <w:highlight w:val="none"/>
          <w:u w:val="single"/>
          <w:lang w:val="en-US" w:eastAsia="zh-CN"/>
        </w:rPr>
        <w:t xml:space="preserve">    </w:t>
      </w:r>
      <w:r>
        <w:rPr>
          <w:rFonts w:hint="eastAsia" w:ascii="方正仿宋_GBK" w:hAnsi="方正仿宋_GBK" w:eastAsia="方正仿宋_GBK" w:cs="方正仿宋_GBK"/>
          <w:color w:val="000000"/>
          <w:kern w:val="0"/>
          <w:sz w:val="24"/>
          <w:szCs w:val="24"/>
          <w:highlight w:val="none"/>
          <w:lang w:val="en-US" w:eastAsia="zh-CN" w:bidi="zh-CN"/>
        </w:rPr>
        <w:t>天书面通知乙方；超出阜阳市辖区的，额外运费由甲方承担。</w:t>
      </w:r>
    </w:p>
    <w:p w14:paraId="7098BA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color w:val="000000"/>
          <w:sz w:val="24"/>
          <w:szCs w:val="24"/>
          <w:highlight w:val="none"/>
        </w:rPr>
        <w:t>（二）乙方权利义务</w:t>
      </w:r>
    </w:p>
    <w:p w14:paraId="1A66D37A">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1、严格按合同约定保质、保量、按时供货。</w:t>
      </w:r>
    </w:p>
    <w:p w14:paraId="250E3711">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2、负责运输、装卸安全，造成人身、财产损害的，自行承担全部赔偿责任。</w:t>
      </w:r>
    </w:p>
    <w:p w14:paraId="0C5FAD0D">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3、配合甲方验收，提供完整验收资料，及时处理质量异议。</w:t>
      </w:r>
    </w:p>
    <w:p w14:paraId="38CD8B6B">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4、不得擅自转包、分包本合同供货义务。</w:t>
      </w:r>
    </w:p>
    <w:p w14:paraId="4B7F55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方正仿宋_GBK" w:hAnsi="方正仿宋_GBK" w:eastAsia="方正仿宋_GBK" w:cs="方正仿宋_GBK"/>
          <w:color w:val="000000"/>
          <w:sz w:val="24"/>
          <w:szCs w:val="24"/>
          <w:highlight w:val="none"/>
          <w:lang w:val="en-US"/>
        </w:rPr>
      </w:pPr>
      <w:r>
        <w:rPr>
          <w:rFonts w:hint="eastAsia" w:ascii="方正仿宋_GBK" w:hAnsi="方正仿宋_GBK" w:eastAsia="方正仿宋_GBK" w:cs="方正仿宋_GBK"/>
          <w:b/>
          <w:bCs/>
          <w:color w:val="auto"/>
          <w:kern w:val="0"/>
          <w:sz w:val="28"/>
          <w:szCs w:val="28"/>
          <w:highlight w:val="none"/>
          <w:lang w:val="en-US" w:eastAsia="zh-CN" w:bidi="zh-CN"/>
        </w:rPr>
        <w:t>九、违约责任及不可抗力</w:t>
      </w:r>
    </w:p>
    <w:p w14:paraId="2E807052">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1、乙方每逾期1日，按当批次货物总金额 1‰支付违约金；逾期超过 10 日，甲方有权解除合同并要求乙方支付合同总价款 5% 违约金。</w:t>
      </w:r>
    </w:p>
    <w:p w14:paraId="4FF6EBCA">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2、货物质量不合格的，甲方有权采取拒收、退货、要求更换、补足等一切必要措施。因乙方更换、补足或重供货物导致交付时间迟于本合同约定或甲方通知期限的，乙方应同时按照本条第1款的约定承担逾期供货违约责任，并赔偿由此给甲方造成的全部损失（包括但不限于甲方因此增加的采购成本、管养项目延误损失等）。</w:t>
      </w:r>
    </w:p>
    <w:p w14:paraId="5D259D79">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3、任何一方无合法理由单方解除合同，须向守约方支付合同总价款 5% 违约金。</w:t>
      </w:r>
    </w:p>
    <w:p w14:paraId="077C4F8D">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4、乙方提供虚假、作废、违规发票的，甲方有权拒付、追回已付款项，乙方承担全部法律责任与经济损失。</w:t>
      </w:r>
    </w:p>
    <w:p w14:paraId="3F2B0F8A">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5、违约金不足以弥补守约方损失的，违约方应继续赔偿差额部分。</w:t>
      </w:r>
    </w:p>
    <w:p w14:paraId="41ED42C1">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bidi="zh-CN"/>
        </w:rPr>
      </w:pPr>
      <w:r>
        <w:rPr>
          <w:rFonts w:hint="eastAsia" w:ascii="方正仿宋_GBK" w:hAnsi="方正仿宋_GBK" w:eastAsia="方正仿宋_GBK" w:cs="方正仿宋_GBK"/>
          <w:color w:val="000000"/>
          <w:kern w:val="0"/>
          <w:sz w:val="24"/>
          <w:szCs w:val="24"/>
          <w:highlight w:val="none"/>
          <w:lang w:val="en-US" w:eastAsia="zh-CN" w:bidi="zh-CN"/>
        </w:rPr>
        <w:t>6、</w:t>
      </w:r>
      <w:r>
        <w:rPr>
          <w:rFonts w:hint="eastAsia" w:ascii="方正仿宋_GBK" w:hAnsi="方正仿宋_GBK" w:eastAsia="方正仿宋_GBK" w:cs="方正仿宋_GBK"/>
          <w:color w:val="000000"/>
          <w:kern w:val="0"/>
          <w:sz w:val="24"/>
          <w:szCs w:val="24"/>
          <w:highlight w:val="none"/>
          <w:lang w:bidi="zh-CN"/>
        </w:rPr>
        <w:t>甲方有权从</w:t>
      </w:r>
      <w:r>
        <w:rPr>
          <w:rFonts w:hint="eastAsia" w:ascii="方正仿宋_GBK" w:hAnsi="方正仿宋_GBK" w:eastAsia="方正仿宋_GBK" w:cs="方正仿宋_GBK"/>
          <w:color w:val="000000"/>
          <w:kern w:val="0"/>
          <w:sz w:val="24"/>
          <w:szCs w:val="24"/>
          <w:highlight w:val="none"/>
          <w:lang w:val="en-US" w:bidi="zh-CN"/>
        </w:rPr>
        <w:t>任一期</w:t>
      </w:r>
      <w:r>
        <w:rPr>
          <w:rFonts w:hint="eastAsia" w:ascii="方正仿宋_GBK" w:hAnsi="方正仿宋_GBK" w:eastAsia="方正仿宋_GBK" w:cs="方正仿宋_GBK"/>
          <w:color w:val="000000"/>
          <w:kern w:val="0"/>
          <w:sz w:val="24"/>
          <w:szCs w:val="24"/>
          <w:highlight w:val="none"/>
          <w:lang w:bidi="zh-CN"/>
        </w:rPr>
        <w:t>应付款中扣罚乙方因违约应支付给甲方的任一笔赔偿金、违约金、费用、罚款等，不足部分由乙方补充支付。</w:t>
      </w:r>
    </w:p>
    <w:p w14:paraId="3EA8326B">
      <w:pPr>
        <w:autoSpaceDE w:val="0"/>
        <w:autoSpaceDN w:val="0"/>
        <w:spacing w:line="460" w:lineRule="atLeast"/>
        <w:ind w:firstLine="480" w:firstLineChars="200"/>
        <w:jc w:val="left"/>
        <w:rPr>
          <w:rFonts w:hint="default"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bidi="zh-CN"/>
        </w:rPr>
        <w:t>7、</w:t>
      </w:r>
      <w:r>
        <w:rPr>
          <w:rFonts w:hint="eastAsia" w:ascii="方正仿宋_GBK" w:hAnsi="方正仿宋_GBK" w:eastAsia="方正仿宋_GBK" w:cs="方正仿宋_GBK"/>
          <w:color w:val="000000"/>
          <w:kern w:val="0"/>
          <w:sz w:val="24"/>
          <w:szCs w:val="24"/>
          <w:highlight w:val="none"/>
          <w:lang w:bidi="zh-CN"/>
        </w:rPr>
        <w:t>因地震、台风、洪水、火灾、政府行为等不能预见、不能避免且不能克服的不可抗力事件，致使一方不能履行本合同的，该方应在事件发生后7日内书面通知对方并提供证明，根据不可抗力的影响部分或全部免除责任；双方均应尽合理努力减少损失，不可抗力消除后继续履行；若不可抗力持续超过30日且致使合同目的无法实现，任何一方均有权书面通知对方解除本合同；一方资金短缺、经营状况恶化或迟延履行后发生不可抗力的，不视为不可抗力，不免除其违约责任。</w:t>
      </w:r>
    </w:p>
    <w:p w14:paraId="37DE78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K" w:hAnsi="方正仿宋_GBK" w:eastAsia="方正仿宋_GBK" w:cs="方正仿宋_GBK"/>
          <w:color w:val="000000"/>
          <w:sz w:val="24"/>
          <w:szCs w:val="24"/>
          <w:highlight w:val="none"/>
        </w:rPr>
      </w:pPr>
      <w:r>
        <w:rPr>
          <w:rFonts w:hint="eastAsia" w:ascii="方正仿宋_GBK" w:hAnsi="方正仿宋_GBK" w:eastAsia="方正仿宋_GBK" w:cs="方正仿宋_GBK"/>
          <w:b/>
          <w:bCs/>
          <w:color w:val="auto"/>
          <w:kern w:val="0"/>
          <w:sz w:val="28"/>
          <w:szCs w:val="28"/>
          <w:highlight w:val="none"/>
          <w:lang w:val="en-US" w:eastAsia="zh-CN" w:bidi="zh-CN"/>
        </w:rPr>
        <w:t>十、争议解决</w:t>
      </w:r>
    </w:p>
    <w:p w14:paraId="602E2FBE">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本合同履行中发生争议，双方优先协商解决；协商不成的，任何一方均有权向甲方所在地有管辖权的人民法院提起诉讼。</w:t>
      </w:r>
    </w:p>
    <w:p w14:paraId="0297FE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方正仿宋_GBK" w:hAnsi="方正仿宋_GBK" w:eastAsia="方正仿宋_GBK" w:cs="方正仿宋_GBK"/>
          <w:b/>
          <w:bCs/>
          <w:color w:val="auto"/>
          <w:kern w:val="0"/>
          <w:sz w:val="28"/>
          <w:szCs w:val="28"/>
          <w:highlight w:val="none"/>
          <w:lang w:val="en-US" w:eastAsia="zh-CN" w:bidi="zh-CN"/>
        </w:rPr>
      </w:pPr>
      <w:r>
        <w:rPr>
          <w:rFonts w:hint="eastAsia" w:ascii="方正仿宋_GBK" w:hAnsi="方正仿宋_GBK" w:eastAsia="方正仿宋_GBK" w:cs="方正仿宋_GBK"/>
          <w:b/>
          <w:bCs/>
          <w:color w:val="auto"/>
          <w:kern w:val="0"/>
          <w:sz w:val="28"/>
          <w:szCs w:val="28"/>
          <w:highlight w:val="none"/>
          <w:lang w:val="en-US" w:eastAsia="zh-CN" w:bidi="zh-CN"/>
        </w:rPr>
        <w:t>十一、合同生效与其他</w:t>
      </w:r>
    </w:p>
    <w:p w14:paraId="6BF13C04">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1、本合同自双方法定代表人 / 授权代表人签字并加盖公章或合同专用章之日起生效。</w:t>
      </w:r>
    </w:p>
    <w:p w14:paraId="387583B1">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2、合同未尽事宜，双方可签订补充协议，补充协议与本合同具有同等法律效力。</w:t>
      </w:r>
    </w:p>
    <w:p w14:paraId="5149D547">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3、本合同一式4份，甲方执2份，乙方执2份，每份具有同等法律效力。</w:t>
      </w:r>
    </w:p>
    <w:p w14:paraId="63D2BA15">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szCs w:val="24"/>
          <w:highlight w:val="none"/>
          <w:lang w:val="en-US" w:eastAsia="zh-CN" w:bidi="zh-CN"/>
        </w:rPr>
        <w:t>4、双方确认本合同首部载明的地址、电话为有效送达地址，任何通知按该地址寄送即视为有效送达。</w:t>
      </w:r>
    </w:p>
    <w:p w14:paraId="0C1B6142">
      <w:pPr>
        <w:autoSpaceDE w:val="0"/>
        <w:autoSpaceDN w:val="0"/>
        <w:spacing w:line="460" w:lineRule="atLeast"/>
        <w:ind w:firstLine="480" w:firstLineChars="200"/>
        <w:jc w:val="left"/>
        <w:rPr>
          <w:rFonts w:hint="eastAsia" w:ascii="方正仿宋_GBK" w:hAnsi="方正仿宋_GBK" w:eastAsia="方正仿宋_GBK" w:cs="方正仿宋_GBK"/>
          <w:color w:val="000000"/>
          <w:kern w:val="0"/>
          <w:sz w:val="24"/>
          <w:szCs w:val="24"/>
          <w:highlight w:val="none"/>
          <w:lang w:val="en-US" w:eastAsia="zh-CN" w:bidi="zh-CN"/>
        </w:rPr>
      </w:pPr>
      <w:r>
        <w:rPr>
          <w:rFonts w:hint="eastAsia" w:ascii="方正仿宋_GBK" w:hAnsi="方正仿宋_GBK" w:eastAsia="方正仿宋_GBK" w:cs="方正仿宋_GBK"/>
          <w:color w:val="000000"/>
          <w:kern w:val="0"/>
          <w:sz w:val="24"/>
          <w:highlight w:val="none"/>
          <w:lang w:bidi="zh-CN"/>
        </w:rPr>
        <w:t>5、本合同附件与本合同正文具有同等法律效力。</w:t>
      </w:r>
    </w:p>
    <w:p w14:paraId="6DC08F1F">
      <w:pPr>
        <w:spacing w:line="360" w:lineRule="auto"/>
        <w:ind w:firstLine="480" w:firstLineChars="200"/>
        <w:rPr>
          <w:rFonts w:hint="eastAsia" w:ascii="方正仿宋_GBK" w:hAnsi="方正仿宋_GBK" w:eastAsia="方正仿宋_GBK" w:cs="方正仿宋_GBK"/>
          <w:color w:val="auto"/>
          <w:sz w:val="24"/>
          <w:szCs w:val="24"/>
          <w:highlight w:val="none"/>
        </w:rPr>
      </w:pPr>
    </w:p>
    <w:p w14:paraId="34F10133">
      <w:pPr>
        <w:spacing w:line="360" w:lineRule="auto"/>
        <w:ind w:firstLine="480" w:firstLineChars="200"/>
        <w:rPr>
          <w:rFonts w:hint="eastAsia" w:ascii="方正仿宋_GBK" w:hAnsi="方正仿宋_GBK" w:eastAsia="方正仿宋_GBK" w:cs="方正仿宋_GBK"/>
          <w:color w:val="auto"/>
          <w:sz w:val="24"/>
          <w:szCs w:val="24"/>
          <w:highlight w:val="none"/>
        </w:rPr>
      </w:pPr>
    </w:p>
    <w:p w14:paraId="2ACF7E1C">
      <w:pPr>
        <w:pStyle w:val="8"/>
        <w:numPr>
          <w:ilvl w:val="0"/>
          <w:numId w:val="0"/>
        </w:numPr>
        <w:spacing w:line="360" w:lineRule="auto"/>
        <w:ind w:left="1367" w:right="1502" w:firstLine="420"/>
        <w:jc w:val="center"/>
        <w:rPr>
          <w:rFonts w:hint="eastAsia" w:ascii="方正仿宋_GBK" w:hAnsi="方正仿宋_GBK" w:eastAsia="方正仿宋_GBK" w:cs="方正仿宋_GBK"/>
          <w:b/>
          <w:sz w:val="32"/>
          <w:szCs w:val="32"/>
          <w:highlight w:val="none"/>
        </w:rPr>
      </w:pPr>
    </w:p>
    <w:p w14:paraId="1B03455C">
      <w:pPr>
        <w:pStyle w:val="8"/>
        <w:rPr>
          <w:rFonts w:hint="eastAsia" w:ascii="方正仿宋_GBK" w:hAnsi="方正仿宋_GBK" w:eastAsia="方正仿宋_GBK" w:cs="方正仿宋_GBK"/>
          <w:highlight w:val="none"/>
        </w:rPr>
      </w:pPr>
    </w:p>
    <w:tbl>
      <w:tblPr>
        <w:tblStyle w:val="22"/>
        <w:tblW w:w="4994" w:type="pct"/>
        <w:tblInd w:w="0" w:type="dxa"/>
        <w:tblLayout w:type="autofit"/>
        <w:tblCellMar>
          <w:top w:w="0" w:type="dxa"/>
          <w:left w:w="108" w:type="dxa"/>
          <w:bottom w:w="0" w:type="dxa"/>
          <w:right w:w="108" w:type="dxa"/>
        </w:tblCellMar>
      </w:tblPr>
      <w:tblGrid>
        <w:gridCol w:w="4440"/>
        <w:gridCol w:w="4439"/>
      </w:tblGrid>
      <w:tr w14:paraId="48696D43">
        <w:tblPrEx>
          <w:tblCellMar>
            <w:top w:w="0" w:type="dxa"/>
            <w:left w:w="108" w:type="dxa"/>
            <w:bottom w:w="0" w:type="dxa"/>
            <w:right w:w="108" w:type="dxa"/>
          </w:tblCellMar>
        </w:tblPrEx>
        <w:trPr>
          <w:trHeight w:val="789" w:hRule="atLeast"/>
        </w:trPr>
        <w:tc>
          <w:tcPr>
            <w:tcW w:w="2500" w:type="pct"/>
            <w:noWrap w:val="0"/>
            <w:vAlign w:val="center"/>
          </w:tcPr>
          <w:p w14:paraId="5093C29D">
            <w:pPr>
              <w:keepNext w:val="0"/>
              <w:keepLines w:val="0"/>
              <w:pageBreakBefore w:val="0"/>
              <w:kinsoku/>
              <w:overflowPunct/>
              <w:topLinePunct w:val="0"/>
              <w:autoSpaceDN/>
              <w:bidi w:val="0"/>
              <w:spacing w:line="360" w:lineRule="auto"/>
              <w:jc w:val="left"/>
              <w:textAlignment w:val="auto"/>
              <w:rPr>
                <w:rFonts w:hint="eastAsia" w:ascii="方正仿宋_GBK" w:hAnsi="方正仿宋_GBK" w:eastAsia="方正仿宋_GBK" w:cs="方正仿宋_GBK"/>
                <w:bCs/>
                <w:kern w:val="0"/>
                <w:sz w:val="24"/>
                <w:szCs w:val="24"/>
                <w:highlight w:val="none"/>
                <w:lang w:val="zh-CN" w:eastAsia="zh-CN" w:bidi="zh-CN"/>
              </w:rPr>
            </w:pPr>
            <w:r>
              <w:rPr>
                <w:rFonts w:hint="eastAsia" w:ascii="方正仿宋_GBK" w:hAnsi="方正仿宋_GBK" w:eastAsia="方正仿宋_GBK" w:cs="方正仿宋_GBK"/>
                <w:bCs/>
                <w:kern w:val="0"/>
                <w:sz w:val="24"/>
                <w:szCs w:val="24"/>
                <w:highlight w:val="none"/>
                <w:lang w:val="zh-CN" w:eastAsia="zh-CN" w:bidi="zh-CN"/>
              </w:rPr>
              <w:t>甲方（</w:t>
            </w:r>
            <w:r>
              <w:rPr>
                <w:rFonts w:hint="eastAsia" w:ascii="方正仿宋_GBK" w:hAnsi="方正仿宋_GBK" w:eastAsia="方正仿宋_GBK" w:cs="方正仿宋_GBK"/>
                <w:bCs/>
                <w:kern w:val="0"/>
                <w:sz w:val="24"/>
                <w:szCs w:val="24"/>
                <w:highlight w:val="none"/>
                <w:lang w:val="en-US" w:eastAsia="zh-CN" w:bidi="zh-CN"/>
              </w:rPr>
              <w:t>盖章</w:t>
            </w:r>
            <w:r>
              <w:rPr>
                <w:rFonts w:hint="eastAsia" w:ascii="方正仿宋_GBK" w:hAnsi="方正仿宋_GBK" w:eastAsia="方正仿宋_GBK" w:cs="方正仿宋_GBK"/>
                <w:bCs/>
                <w:kern w:val="0"/>
                <w:sz w:val="24"/>
                <w:szCs w:val="24"/>
                <w:highlight w:val="none"/>
                <w:lang w:val="zh-CN" w:eastAsia="zh-CN" w:bidi="zh-CN"/>
              </w:rPr>
              <w:t>）：</w:t>
            </w:r>
          </w:p>
        </w:tc>
        <w:tc>
          <w:tcPr>
            <w:tcW w:w="2499" w:type="pct"/>
            <w:noWrap w:val="0"/>
            <w:vAlign w:val="center"/>
          </w:tcPr>
          <w:p w14:paraId="73012AFD">
            <w:pPr>
              <w:keepNext w:val="0"/>
              <w:keepLines w:val="0"/>
              <w:pageBreakBefore w:val="0"/>
              <w:kinsoku/>
              <w:overflowPunct/>
              <w:topLinePunct w:val="0"/>
              <w:autoSpaceDN/>
              <w:bidi w:val="0"/>
              <w:spacing w:line="360" w:lineRule="auto"/>
              <w:jc w:val="left"/>
              <w:textAlignment w:val="auto"/>
              <w:rPr>
                <w:rFonts w:hint="eastAsia" w:ascii="方正仿宋_GBK" w:hAnsi="方正仿宋_GBK" w:eastAsia="方正仿宋_GBK" w:cs="方正仿宋_GBK"/>
                <w:bCs/>
                <w:kern w:val="0"/>
                <w:sz w:val="24"/>
                <w:szCs w:val="24"/>
                <w:highlight w:val="none"/>
                <w:lang w:val="zh-CN" w:eastAsia="zh-CN" w:bidi="zh-CN"/>
              </w:rPr>
            </w:pPr>
            <w:r>
              <w:rPr>
                <w:rFonts w:hint="eastAsia" w:ascii="方正仿宋_GBK" w:hAnsi="方正仿宋_GBK" w:eastAsia="方正仿宋_GBK" w:cs="方正仿宋_GBK"/>
                <w:bCs/>
                <w:kern w:val="0"/>
                <w:sz w:val="24"/>
                <w:szCs w:val="24"/>
                <w:highlight w:val="none"/>
                <w:lang w:val="zh-CN" w:eastAsia="zh-CN" w:bidi="zh-CN"/>
              </w:rPr>
              <w:t>乙方（</w:t>
            </w:r>
            <w:r>
              <w:rPr>
                <w:rFonts w:hint="eastAsia" w:ascii="方正仿宋_GBK" w:hAnsi="方正仿宋_GBK" w:eastAsia="方正仿宋_GBK" w:cs="方正仿宋_GBK"/>
                <w:bCs/>
                <w:kern w:val="0"/>
                <w:sz w:val="24"/>
                <w:szCs w:val="24"/>
                <w:highlight w:val="none"/>
                <w:lang w:val="en-US" w:eastAsia="zh-CN" w:bidi="zh-CN"/>
              </w:rPr>
              <w:t>盖章</w:t>
            </w:r>
            <w:r>
              <w:rPr>
                <w:rFonts w:hint="eastAsia" w:ascii="方正仿宋_GBK" w:hAnsi="方正仿宋_GBK" w:eastAsia="方正仿宋_GBK" w:cs="方正仿宋_GBK"/>
                <w:bCs/>
                <w:kern w:val="0"/>
                <w:sz w:val="24"/>
                <w:szCs w:val="24"/>
                <w:highlight w:val="none"/>
                <w:lang w:val="zh-CN" w:eastAsia="zh-CN" w:bidi="zh-CN"/>
              </w:rPr>
              <w:t>）：</w:t>
            </w:r>
          </w:p>
        </w:tc>
      </w:tr>
      <w:tr w14:paraId="31E1A140">
        <w:tblPrEx>
          <w:tblCellMar>
            <w:top w:w="0" w:type="dxa"/>
            <w:left w:w="108" w:type="dxa"/>
            <w:bottom w:w="0" w:type="dxa"/>
            <w:right w:w="108" w:type="dxa"/>
          </w:tblCellMar>
        </w:tblPrEx>
        <w:trPr>
          <w:trHeight w:val="789" w:hRule="atLeast"/>
        </w:trPr>
        <w:tc>
          <w:tcPr>
            <w:tcW w:w="2500" w:type="pct"/>
            <w:noWrap w:val="0"/>
            <w:vAlign w:val="center"/>
          </w:tcPr>
          <w:p w14:paraId="4ACC403F">
            <w:pPr>
              <w:keepNext w:val="0"/>
              <w:keepLines w:val="0"/>
              <w:widowControl/>
              <w:suppressLineNumbers w:val="0"/>
              <w:spacing w:line="26" w:lineRule="atLeast"/>
              <w:jc w:val="left"/>
              <w:rPr>
                <w:rFonts w:hint="eastAsia" w:ascii="方正仿宋_GBK" w:hAnsi="方正仿宋_GBK" w:eastAsia="方正仿宋_GBK" w:cs="方正仿宋_GBK"/>
                <w:bCs/>
                <w:kern w:val="0"/>
                <w:sz w:val="24"/>
                <w:szCs w:val="24"/>
                <w:highlight w:val="none"/>
                <w:lang w:val="zh-CN" w:eastAsia="zh-CN" w:bidi="zh-CN"/>
              </w:rPr>
            </w:pPr>
            <w:r>
              <w:rPr>
                <w:rFonts w:hint="eastAsia" w:ascii="方正仿宋_GBK" w:hAnsi="方正仿宋_GBK" w:eastAsia="方正仿宋_GBK" w:cs="方正仿宋_GBK"/>
                <w:bCs/>
                <w:kern w:val="0"/>
                <w:sz w:val="24"/>
                <w:szCs w:val="24"/>
                <w:highlight w:val="none"/>
                <w:lang w:val="zh-CN" w:eastAsia="zh-CN" w:bidi="zh-CN"/>
              </w:rPr>
              <w:t>名 称：</w:t>
            </w:r>
          </w:p>
        </w:tc>
        <w:tc>
          <w:tcPr>
            <w:tcW w:w="2499" w:type="pct"/>
            <w:noWrap w:val="0"/>
            <w:vAlign w:val="center"/>
          </w:tcPr>
          <w:p w14:paraId="20AF2DAE">
            <w:pPr>
              <w:keepNext w:val="0"/>
              <w:keepLines w:val="0"/>
              <w:pageBreakBefore w:val="0"/>
              <w:kinsoku/>
              <w:overflowPunct/>
              <w:topLinePunct w:val="0"/>
              <w:autoSpaceDN/>
              <w:bidi w:val="0"/>
              <w:spacing w:line="360" w:lineRule="auto"/>
              <w:jc w:val="left"/>
              <w:textAlignment w:val="auto"/>
              <w:rPr>
                <w:rFonts w:hint="eastAsia" w:ascii="方正仿宋_GBK" w:hAnsi="方正仿宋_GBK" w:eastAsia="方正仿宋_GBK" w:cs="方正仿宋_GBK"/>
                <w:bCs/>
                <w:kern w:val="0"/>
                <w:sz w:val="24"/>
                <w:szCs w:val="24"/>
                <w:highlight w:val="none"/>
                <w:lang w:val="en-US" w:eastAsia="zh-CN" w:bidi="zh-CN"/>
              </w:rPr>
            </w:pPr>
            <w:r>
              <w:rPr>
                <w:rFonts w:hint="eastAsia" w:ascii="方正仿宋_GBK" w:hAnsi="方正仿宋_GBK" w:eastAsia="方正仿宋_GBK" w:cs="方正仿宋_GBK"/>
                <w:bCs/>
                <w:kern w:val="0"/>
                <w:sz w:val="24"/>
                <w:szCs w:val="24"/>
                <w:highlight w:val="none"/>
                <w:lang w:val="zh-CN" w:eastAsia="zh-CN" w:bidi="zh-CN"/>
              </w:rPr>
              <w:t>名 称：</w:t>
            </w:r>
          </w:p>
        </w:tc>
      </w:tr>
      <w:tr w14:paraId="1658CF45">
        <w:tblPrEx>
          <w:tblCellMar>
            <w:top w:w="0" w:type="dxa"/>
            <w:left w:w="108" w:type="dxa"/>
            <w:bottom w:w="0" w:type="dxa"/>
            <w:right w:w="108" w:type="dxa"/>
          </w:tblCellMar>
        </w:tblPrEx>
        <w:trPr>
          <w:trHeight w:val="789" w:hRule="atLeast"/>
        </w:trPr>
        <w:tc>
          <w:tcPr>
            <w:tcW w:w="2500" w:type="pct"/>
            <w:noWrap w:val="0"/>
            <w:vAlign w:val="center"/>
          </w:tcPr>
          <w:p w14:paraId="4AD897D8">
            <w:pPr>
              <w:keepNext w:val="0"/>
              <w:keepLines w:val="0"/>
              <w:pageBreakBefore w:val="0"/>
              <w:kinsoku/>
              <w:overflowPunct/>
              <w:topLinePunct w:val="0"/>
              <w:autoSpaceDN/>
              <w:bidi w:val="0"/>
              <w:spacing w:line="360" w:lineRule="auto"/>
              <w:jc w:val="left"/>
              <w:textAlignment w:val="auto"/>
              <w:rPr>
                <w:rFonts w:hint="eastAsia" w:ascii="方正仿宋_GBK" w:hAnsi="方正仿宋_GBK" w:eastAsia="方正仿宋_GBK" w:cs="方正仿宋_GBK"/>
                <w:bCs/>
                <w:kern w:val="0"/>
                <w:sz w:val="24"/>
                <w:szCs w:val="24"/>
                <w:highlight w:val="none"/>
                <w:lang w:val="zh-CN" w:eastAsia="zh-CN" w:bidi="zh-CN"/>
              </w:rPr>
            </w:pPr>
            <w:r>
              <w:rPr>
                <w:rFonts w:hint="eastAsia" w:ascii="方正仿宋_GBK" w:hAnsi="方正仿宋_GBK" w:eastAsia="方正仿宋_GBK" w:cs="方正仿宋_GBK"/>
                <w:bCs/>
                <w:kern w:val="0"/>
                <w:sz w:val="24"/>
                <w:szCs w:val="24"/>
                <w:highlight w:val="none"/>
                <w:lang w:val="zh-CN" w:eastAsia="zh-CN" w:bidi="zh-CN"/>
              </w:rPr>
              <w:t>地 址：</w:t>
            </w:r>
          </w:p>
        </w:tc>
        <w:tc>
          <w:tcPr>
            <w:tcW w:w="2499" w:type="pct"/>
            <w:noWrap w:val="0"/>
            <w:vAlign w:val="center"/>
          </w:tcPr>
          <w:p w14:paraId="218A368A">
            <w:pPr>
              <w:keepNext w:val="0"/>
              <w:keepLines w:val="0"/>
              <w:pageBreakBefore w:val="0"/>
              <w:kinsoku/>
              <w:overflowPunct/>
              <w:topLinePunct w:val="0"/>
              <w:autoSpaceDN/>
              <w:bidi w:val="0"/>
              <w:spacing w:line="360" w:lineRule="auto"/>
              <w:jc w:val="left"/>
              <w:textAlignment w:val="auto"/>
              <w:rPr>
                <w:rFonts w:hint="eastAsia" w:ascii="方正仿宋_GBK" w:hAnsi="方正仿宋_GBK" w:eastAsia="方正仿宋_GBK" w:cs="方正仿宋_GBK"/>
                <w:bCs/>
                <w:kern w:val="0"/>
                <w:sz w:val="24"/>
                <w:szCs w:val="24"/>
                <w:highlight w:val="none"/>
                <w:lang w:val="en-US" w:eastAsia="zh-CN" w:bidi="zh-CN"/>
              </w:rPr>
            </w:pPr>
            <w:r>
              <w:rPr>
                <w:rFonts w:hint="eastAsia" w:ascii="方正仿宋_GBK" w:hAnsi="方正仿宋_GBK" w:eastAsia="方正仿宋_GBK" w:cs="方正仿宋_GBK"/>
                <w:bCs/>
                <w:kern w:val="0"/>
                <w:sz w:val="24"/>
                <w:szCs w:val="24"/>
                <w:highlight w:val="none"/>
                <w:lang w:val="zh-CN" w:eastAsia="zh-CN" w:bidi="zh-CN"/>
              </w:rPr>
              <w:t>地 址：</w:t>
            </w:r>
          </w:p>
        </w:tc>
      </w:tr>
      <w:tr w14:paraId="7DF1EDF4">
        <w:tblPrEx>
          <w:tblCellMar>
            <w:top w:w="0" w:type="dxa"/>
            <w:left w:w="108" w:type="dxa"/>
            <w:bottom w:w="0" w:type="dxa"/>
            <w:right w:w="108" w:type="dxa"/>
          </w:tblCellMar>
        </w:tblPrEx>
        <w:trPr>
          <w:trHeight w:val="749" w:hRule="atLeast"/>
        </w:trPr>
        <w:tc>
          <w:tcPr>
            <w:tcW w:w="2500" w:type="pct"/>
            <w:noWrap w:val="0"/>
            <w:vAlign w:val="center"/>
          </w:tcPr>
          <w:p w14:paraId="0CC58A60">
            <w:pPr>
              <w:keepNext w:val="0"/>
              <w:keepLines w:val="0"/>
              <w:pageBreakBefore w:val="0"/>
              <w:kinsoku/>
              <w:overflowPunct/>
              <w:topLinePunct w:val="0"/>
              <w:autoSpaceDN/>
              <w:bidi w:val="0"/>
              <w:spacing w:line="360" w:lineRule="auto"/>
              <w:jc w:val="left"/>
              <w:textAlignment w:val="auto"/>
              <w:rPr>
                <w:rFonts w:hint="eastAsia" w:ascii="方正仿宋_GBK" w:hAnsi="方正仿宋_GBK" w:eastAsia="方正仿宋_GBK" w:cs="方正仿宋_GBK"/>
                <w:bCs/>
                <w:kern w:val="0"/>
                <w:sz w:val="24"/>
                <w:szCs w:val="24"/>
                <w:highlight w:val="none"/>
                <w:lang w:val="zh-CN" w:eastAsia="zh-CN" w:bidi="zh-CN"/>
              </w:rPr>
            </w:pPr>
            <w:r>
              <w:rPr>
                <w:rFonts w:hint="eastAsia" w:ascii="方正仿宋_GBK" w:hAnsi="方正仿宋_GBK" w:eastAsia="方正仿宋_GBK" w:cs="方正仿宋_GBK"/>
                <w:bCs/>
                <w:kern w:val="0"/>
                <w:sz w:val="24"/>
                <w:szCs w:val="24"/>
                <w:highlight w:val="none"/>
                <w:lang w:val="zh-CN" w:eastAsia="zh-CN" w:bidi="zh-CN"/>
              </w:rPr>
              <w:t>法定代表人或授权代表人签</w:t>
            </w:r>
            <w:r>
              <w:rPr>
                <w:rFonts w:hint="eastAsia" w:ascii="方正仿宋_GBK" w:hAnsi="方正仿宋_GBK" w:eastAsia="方正仿宋_GBK" w:cs="方正仿宋_GBK"/>
                <w:bCs/>
                <w:kern w:val="0"/>
                <w:sz w:val="24"/>
                <w:szCs w:val="24"/>
                <w:highlight w:val="none"/>
                <w:lang w:val="en-US" w:eastAsia="zh-CN" w:bidi="zh-CN"/>
              </w:rPr>
              <w:t>名</w:t>
            </w:r>
            <w:r>
              <w:rPr>
                <w:rFonts w:hint="eastAsia" w:ascii="方正仿宋_GBK" w:hAnsi="方正仿宋_GBK" w:eastAsia="方正仿宋_GBK" w:cs="方正仿宋_GBK"/>
                <w:bCs/>
                <w:kern w:val="0"/>
                <w:sz w:val="24"/>
                <w:szCs w:val="24"/>
                <w:highlight w:val="none"/>
                <w:lang w:val="zh-CN" w:eastAsia="zh-CN" w:bidi="zh-CN"/>
              </w:rPr>
              <w:t>：</w:t>
            </w:r>
          </w:p>
          <w:p w14:paraId="3BDA7C88">
            <w:pPr>
              <w:keepNext w:val="0"/>
              <w:keepLines w:val="0"/>
              <w:pageBreakBefore w:val="0"/>
              <w:kinsoku/>
              <w:overflowPunct/>
              <w:topLinePunct w:val="0"/>
              <w:autoSpaceDN/>
              <w:bidi w:val="0"/>
              <w:spacing w:line="360" w:lineRule="auto"/>
              <w:jc w:val="left"/>
              <w:textAlignment w:val="auto"/>
              <w:rPr>
                <w:rFonts w:hint="eastAsia" w:ascii="方正仿宋_GBK" w:hAnsi="方正仿宋_GBK" w:eastAsia="方正仿宋_GBK" w:cs="方正仿宋_GBK"/>
                <w:bCs/>
                <w:kern w:val="0"/>
                <w:sz w:val="24"/>
                <w:szCs w:val="24"/>
                <w:highlight w:val="none"/>
                <w:lang w:val="zh-CN" w:eastAsia="zh-CN" w:bidi="zh-CN"/>
              </w:rPr>
            </w:pPr>
          </w:p>
          <w:p w14:paraId="3BD41373">
            <w:pPr>
              <w:keepNext w:val="0"/>
              <w:keepLines w:val="0"/>
              <w:pageBreakBefore w:val="0"/>
              <w:kinsoku/>
              <w:overflowPunct/>
              <w:topLinePunct w:val="0"/>
              <w:autoSpaceDN/>
              <w:bidi w:val="0"/>
              <w:spacing w:line="360" w:lineRule="auto"/>
              <w:ind w:firstLine="480" w:firstLineChars="200"/>
              <w:jc w:val="left"/>
              <w:textAlignment w:val="auto"/>
              <w:rPr>
                <w:rFonts w:hint="eastAsia" w:ascii="方正仿宋_GBK" w:hAnsi="方正仿宋_GBK" w:eastAsia="方正仿宋_GBK" w:cs="方正仿宋_GBK"/>
                <w:bCs/>
                <w:kern w:val="0"/>
                <w:sz w:val="24"/>
                <w:szCs w:val="24"/>
                <w:highlight w:val="none"/>
                <w:lang w:val="zh-CN" w:eastAsia="zh-CN" w:bidi="zh-CN"/>
              </w:rPr>
            </w:pPr>
          </w:p>
        </w:tc>
        <w:tc>
          <w:tcPr>
            <w:tcW w:w="2499" w:type="pct"/>
            <w:noWrap w:val="0"/>
            <w:vAlign w:val="center"/>
          </w:tcPr>
          <w:p w14:paraId="478F45B0">
            <w:pPr>
              <w:keepNext w:val="0"/>
              <w:keepLines w:val="0"/>
              <w:pageBreakBefore w:val="0"/>
              <w:kinsoku/>
              <w:overflowPunct/>
              <w:topLinePunct w:val="0"/>
              <w:autoSpaceDN/>
              <w:bidi w:val="0"/>
              <w:spacing w:line="360" w:lineRule="auto"/>
              <w:jc w:val="left"/>
              <w:textAlignment w:val="auto"/>
              <w:rPr>
                <w:rFonts w:hint="eastAsia" w:ascii="方正仿宋_GBK" w:hAnsi="方正仿宋_GBK" w:eastAsia="方正仿宋_GBK" w:cs="方正仿宋_GBK"/>
                <w:bCs/>
                <w:kern w:val="0"/>
                <w:sz w:val="24"/>
                <w:szCs w:val="24"/>
                <w:highlight w:val="none"/>
                <w:lang w:val="zh-CN" w:eastAsia="zh-CN" w:bidi="zh-CN"/>
              </w:rPr>
            </w:pPr>
            <w:r>
              <w:rPr>
                <w:rFonts w:hint="eastAsia" w:ascii="方正仿宋_GBK" w:hAnsi="方正仿宋_GBK" w:eastAsia="方正仿宋_GBK" w:cs="方正仿宋_GBK"/>
                <w:bCs/>
                <w:kern w:val="0"/>
                <w:sz w:val="24"/>
                <w:szCs w:val="24"/>
                <w:highlight w:val="none"/>
                <w:lang w:val="zh-CN" w:eastAsia="zh-CN" w:bidi="zh-CN"/>
              </w:rPr>
              <w:t>法定代表人或授权代表人签</w:t>
            </w:r>
            <w:r>
              <w:rPr>
                <w:rFonts w:hint="eastAsia" w:ascii="方正仿宋_GBK" w:hAnsi="方正仿宋_GBK" w:eastAsia="方正仿宋_GBK" w:cs="方正仿宋_GBK"/>
                <w:bCs/>
                <w:kern w:val="0"/>
                <w:sz w:val="24"/>
                <w:szCs w:val="24"/>
                <w:highlight w:val="none"/>
                <w:lang w:val="en-US" w:eastAsia="zh-CN" w:bidi="zh-CN"/>
              </w:rPr>
              <w:t>名</w:t>
            </w:r>
            <w:r>
              <w:rPr>
                <w:rFonts w:hint="eastAsia" w:ascii="方正仿宋_GBK" w:hAnsi="方正仿宋_GBK" w:eastAsia="方正仿宋_GBK" w:cs="方正仿宋_GBK"/>
                <w:bCs/>
                <w:kern w:val="0"/>
                <w:sz w:val="24"/>
                <w:szCs w:val="24"/>
                <w:highlight w:val="none"/>
                <w:lang w:val="zh-CN" w:eastAsia="zh-CN" w:bidi="zh-CN"/>
              </w:rPr>
              <w:t>：</w:t>
            </w:r>
          </w:p>
          <w:p w14:paraId="2A6006C9">
            <w:pPr>
              <w:keepNext w:val="0"/>
              <w:keepLines w:val="0"/>
              <w:pageBreakBefore w:val="0"/>
              <w:kinsoku/>
              <w:overflowPunct/>
              <w:topLinePunct w:val="0"/>
              <w:autoSpaceDN/>
              <w:bidi w:val="0"/>
              <w:spacing w:line="360" w:lineRule="auto"/>
              <w:jc w:val="left"/>
              <w:textAlignment w:val="auto"/>
              <w:rPr>
                <w:rFonts w:hint="eastAsia" w:ascii="方正仿宋_GBK" w:hAnsi="方正仿宋_GBK" w:eastAsia="方正仿宋_GBK" w:cs="方正仿宋_GBK"/>
                <w:bCs/>
                <w:kern w:val="0"/>
                <w:sz w:val="24"/>
                <w:szCs w:val="24"/>
                <w:highlight w:val="none"/>
                <w:lang w:val="zh-CN" w:eastAsia="zh-CN" w:bidi="zh-CN"/>
              </w:rPr>
            </w:pPr>
          </w:p>
          <w:p w14:paraId="61D0D0AF">
            <w:pPr>
              <w:keepNext w:val="0"/>
              <w:keepLines w:val="0"/>
              <w:pageBreakBefore w:val="0"/>
              <w:kinsoku/>
              <w:overflowPunct/>
              <w:topLinePunct w:val="0"/>
              <w:autoSpaceDN/>
              <w:bidi w:val="0"/>
              <w:spacing w:line="360" w:lineRule="auto"/>
              <w:ind w:firstLine="480" w:firstLineChars="200"/>
              <w:jc w:val="left"/>
              <w:textAlignment w:val="auto"/>
              <w:rPr>
                <w:rFonts w:hint="eastAsia" w:ascii="方正仿宋_GBK" w:hAnsi="方正仿宋_GBK" w:eastAsia="方正仿宋_GBK" w:cs="方正仿宋_GBK"/>
                <w:bCs/>
                <w:kern w:val="0"/>
                <w:sz w:val="24"/>
                <w:szCs w:val="24"/>
                <w:highlight w:val="none"/>
                <w:lang w:val="zh-CN" w:eastAsia="zh-CN" w:bidi="zh-CN"/>
              </w:rPr>
            </w:pPr>
          </w:p>
        </w:tc>
      </w:tr>
      <w:tr w14:paraId="0474888A">
        <w:tblPrEx>
          <w:tblCellMar>
            <w:top w:w="0" w:type="dxa"/>
            <w:left w:w="108" w:type="dxa"/>
            <w:bottom w:w="0" w:type="dxa"/>
            <w:right w:w="108" w:type="dxa"/>
          </w:tblCellMar>
        </w:tblPrEx>
        <w:trPr>
          <w:trHeight w:val="749" w:hRule="atLeast"/>
        </w:trPr>
        <w:tc>
          <w:tcPr>
            <w:tcW w:w="0" w:type="auto"/>
            <w:noWrap w:val="0"/>
            <w:vAlign w:val="center"/>
          </w:tcPr>
          <w:p w14:paraId="027F28AB">
            <w:pPr>
              <w:keepNext w:val="0"/>
              <w:keepLines w:val="0"/>
              <w:pageBreakBefore w:val="0"/>
              <w:kinsoku/>
              <w:overflowPunct/>
              <w:topLinePunct w:val="0"/>
              <w:autoSpaceDN/>
              <w:bidi w:val="0"/>
              <w:spacing w:line="360" w:lineRule="auto"/>
              <w:jc w:val="left"/>
              <w:textAlignment w:val="auto"/>
              <w:rPr>
                <w:rFonts w:hint="eastAsia" w:ascii="方正仿宋_GBK" w:hAnsi="方正仿宋_GBK" w:eastAsia="方正仿宋_GBK" w:cs="方正仿宋_GBK"/>
                <w:bCs/>
                <w:kern w:val="0"/>
                <w:sz w:val="24"/>
                <w:szCs w:val="24"/>
                <w:highlight w:val="none"/>
                <w:lang w:val="zh-CN" w:eastAsia="zh-CN" w:bidi="zh-CN"/>
              </w:rPr>
            </w:pPr>
            <w:r>
              <w:rPr>
                <w:rFonts w:hint="eastAsia" w:ascii="方正仿宋_GBK" w:hAnsi="方正仿宋_GBK" w:eastAsia="方正仿宋_GBK" w:cs="方正仿宋_GBK"/>
                <w:bCs/>
                <w:kern w:val="0"/>
                <w:sz w:val="24"/>
                <w:szCs w:val="24"/>
                <w:highlight w:val="none"/>
                <w:lang w:val="zh-CN" w:eastAsia="zh-CN" w:bidi="zh-CN"/>
              </w:rPr>
              <w:t xml:space="preserve">签字日期：  </w:t>
            </w:r>
            <w:r>
              <w:rPr>
                <w:rFonts w:hint="eastAsia" w:ascii="方正仿宋_GBK" w:hAnsi="方正仿宋_GBK" w:eastAsia="方正仿宋_GBK" w:cs="方正仿宋_GBK"/>
                <w:bCs/>
                <w:kern w:val="0"/>
                <w:sz w:val="24"/>
                <w:szCs w:val="24"/>
                <w:highlight w:val="none"/>
                <w:lang w:val="en-US" w:eastAsia="zh-CN" w:bidi="zh-CN"/>
              </w:rPr>
              <w:t xml:space="preserve">  </w:t>
            </w:r>
            <w:r>
              <w:rPr>
                <w:rFonts w:hint="eastAsia" w:ascii="方正仿宋_GBK" w:hAnsi="方正仿宋_GBK" w:eastAsia="方正仿宋_GBK" w:cs="方正仿宋_GBK"/>
                <w:bCs/>
                <w:kern w:val="0"/>
                <w:sz w:val="24"/>
                <w:szCs w:val="24"/>
                <w:highlight w:val="none"/>
                <w:lang w:val="zh-CN" w:eastAsia="zh-CN" w:bidi="zh-CN"/>
              </w:rPr>
              <w:t xml:space="preserve">年 </w:t>
            </w:r>
            <w:r>
              <w:rPr>
                <w:rFonts w:hint="eastAsia" w:ascii="方正仿宋_GBK" w:hAnsi="方正仿宋_GBK" w:eastAsia="方正仿宋_GBK" w:cs="方正仿宋_GBK"/>
                <w:bCs/>
                <w:kern w:val="0"/>
                <w:sz w:val="24"/>
                <w:szCs w:val="24"/>
                <w:highlight w:val="none"/>
                <w:lang w:val="en-US" w:eastAsia="zh-CN" w:bidi="zh-CN"/>
              </w:rPr>
              <w:t xml:space="preserve">   </w:t>
            </w:r>
            <w:r>
              <w:rPr>
                <w:rFonts w:hint="eastAsia" w:ascii="方正仿宋_GBK" w:hAnsi="方正仿宋_GBK" w:eastAsia="方正仿宋_GBK" w:cs="方正仿宋_GBK"/>
                <w:bCs/>
                <w:kern w:val="0"/>
                <w:sz w:val="24"/>
                <w:szCs w:val="24"/>
                <w:highlight w:val="none"/>
                <w:lang w:val="zh-CN" w:eastAsia="zh-CN" w:bidi="zh-CN"/>
              </w:rPr>
              <w:t xml:space="preserve"> 月 </w:t>
            </w:r>
            <w:r>
              <w:rPr>
                <w:rFonts w:hint="eastAsia" w:ascii="方正仿宋_GBK" w:hAnsi="方正仿宋_GBK" w:eastAsia="方正仿宋_GBK" w:cs="方正仿宋_GBK"/>
                <w:bCs/>
                <w:kern w:val="0"/>
                <w:sz w:val="24"/>
                <w:szCs w:val="24"/>
                <w:highlight w:val="none"/>
                <w:lang w:val="en-US" w:eastAsia="zh-CN" w:bidi="zh-CN"/>
              </w:rPr>
              <w:t xml:space="preserve">   </w:t>
            </w:r>
            <w:r>
              <w:rPr>
                <w:rFonts w:hint="eastAsia" w:ascii="方正仿宋_GBK" w:hAnsi="方正仿宋_GBK" w:eastAsia="方正仿宋_GBK" w:cs="方正仿宋_GBK"/>
                <w:bCs/>
                <w:kern w:val="0"/>
                <w:sz w:val="24"/>
                <w:szCs w:val="24"/>
                <w:highlight w:val="none"/>
                <w:lang w:val="zh-CN" w:eastAsia="zh-CN" w:bidi="zh-CN"/>
              </w:rPr>
              <w:t xml:space="preserve"> 日 </w:t>
            </w:r>
          </w:p>
        </w:tc>
        <w:tc>
          <w:tcPr>
            <w:tcW w:w="0" w:type="auto"/>
            <w:noWrap w:val="0"/>
            <w:vAlign w:val="center"/>
          </w:tcPr>
          <w:p w14:paraId="7F6E869A">
            <w:pPr>
              <w:keepNext w:val="0"/>
              <w:keepLines w:val="0"/>
              <w:pageBreakBefore w:val="0"/>
              <w:kinsoku/>
              <w:overflowPunct/>
              <w:topLinePunct w:val="0"/>
              <w:autoSpaceDN/>
              <w:bidi w:val="0"/>
              <w:spacing w:line="360" w:lineRule="auto"/>
              <w:jc w:val="left"/>
              <w:textAlignment w:val="auto"/>
              <w:rPr>
                <w:rFonts w:hint="eastAsia" w:ascii="方正仿宋_GBK" w:hAnsi="方正仿宋_GBK" w:eastAsia="方正仿宋_GBK" w:cs="方正仿宋_GBK"/>
                <w:bCs/>
                <w:kern w:val="0"/>
                <w:sz w:val="24"/>
                <w:szCs w:val="24"/>
                <w:highlight w:val="none"/>
                <w:lang w:val="zh-CN" w:eastAsia="zh-CN" w:bidi="zh-CN"/>
              </w:rPr>
            </w:pPr>
            <w:r>
              <w:rPr>
                <w:rFonts w:hint="eastAsia" w:ascii="方正仿宋_GBK" w:hAnsi="方正仿宋_GBK" w:eastAsia="方正仿宋_GBK" w:cs="方正仿宋_GBK"/>
                <w:bCs/>
                <w:kern w:val="0"/>
                <w:sz w:val="24"/>
                <w:szCs w:val="24"/>
                <w:highlight w:val="none"/>
                <w:lang w:val="zh-CN" w:eastAsia="zh-CN" w:bidi="zh-CN"/>
              </w:rPr>
              <w:t xml:space="preserve">签字日期：  </w:t>
            </w:r>
            <w:r>
              <w:rPr>
                <w:rFonts w:hint="eastAsia" w:ascii="方正仿宋_GBK" w:hAnsi="方正仿宋_GBK" w:eastAsia="方正仿宋_GBK" w:cs="方正仿宋_GBK"/>
                <w:bCs/>
                <w:kern w:val="0"/>
                <w:sz w:val="24"/>
                <w:szCs w:val="24"/>
                <w:highlight w:val="none"/>
                <w:lang w:val="en-US" w:eastAsia="zh-CN" w:bidi="zh-CN"/>
              </w:rPr>
              <w:t xml:space="preserve"> </w:t>
            </w:r>
            <w:r>
              <w:rPr>
                <w:rFonts w:hint="eastAsia" w:ascii="方正仿宋_GBK" w:hAnsi="方正仿宋_GBK" w:eastAsia="方正仿宋_GBK" w:cs="方正仿宋_GBK"/>
                <w:bCs/>
                <w:kern w:val="0"/>
                <w:sz w:val="24"/>
                <w:szCs w:val="24"/>
                <w:highlight w:val="none"/>
                <w:lang w:val="zh-CN" w:eastAsia="zh-CN" w:bidi="zh-CN"/>
              </w:rPr>
              <w:t xml:space="preserve"> 年 </w:t>
            </w:r>
            <w:r>
              <w:rPr>
                <w:rFonts w:hint="eastAsia" w:ascii="方正仿宋_GBK" w:hAnsi="方正仿宋_GBK" w:eastAsia="方正仿宋_GBK" w:cs="方正仿宋_GBK"/>
                <w:bCs/>
                <w:kern w:val="0"/>
                <w:sz w:val="24"/>
                <w:szCs w:val="24"/>
                <w:highlight w:val="none"/>
                <w:lang w:val="en-US" w:eastAsia="zh-CN" w:bidi="zh-CN"/>
              </w:rPr>
              <w:t xml:space="preserve">   </w:t>
            </w:r>
            <w:r>
              <w:rPr>
                <w:rFonts w:hint="eastAsia" w:ascii="方正仿宋_GBK" w:hAnsi="方正仿宋_GBK" w:eastAsia="方正仿宋_GBK" w:cs="方正仿宋_GBK"/>
                <w:bCs/>
                <w:kern w:val="0"/>
                <w:sz w:val="24"/>
                <w:szCs w:val="24"/>
                <w:highlight w:val="none"/>
                <w:lang w:val="zh-CN" w:eastAsia="zh-CN" w:bidi="zh-CN"/>
              </w:rPr>
              <w:t xml:space="preserve"> 月 </w:t>
            </w:r>
            <w:r>
              <w:rPr>
                <w:rFonts w:hint="eastAsia" w:ascii="方正仿宋_GBK" w:hAnsi="方正仿宋_GBK" w:eastAsia="方正仿宋_GBK" w:cs="方正仿宋_GBK"/>
                <w:bCs/>
                <w:kern w:val="0"/>
                <w:sz w:val="24"/>
                <w:szCs w:val="24"/>
                <w:highlight w:val="none"/>
                <w:lang w:val="en-US" w:eastAsia="zh-CN" w:bidi="zh-CN"/>
              </w:rPr>
              <w:t xml:space="preserve">   </w:t>
            </w:r>
            <w:r>
              <w:rPr>
                <w:rFonts w:hint="eastAsia" w:ascii="方正仿宋_GBK" w:hAnsi="方正仿宋_GBK" w:eastAsia="方正仿宋_GBK" w:cs="方正仿宋_GBK"/>
                <w:bCs/>
                <w:kern w:val="0"/>
                <w:sz w:val="24"/>
                <w:szCs w:val="24"/>
                <w:highlight w:val="none"/>
                <w:lang w:val="zh-CN" w:eastAsia="zh-CN" w:bidi="zh-CN"/>
              </w:rPr>
              <w:t xml:space="preserve"> 日 </w:t>
            </w:r>
          </w:p>
        </w:tc>
      </w:tr>
    </w:tbl>
    <w:p w14:paraId="2332ED78">
      <w:pPr>
        <w:rPr>
          <w:rFonts w:hint="eastAsia" w:ascii="方正仿宋_GB2312" w:hAnsi="方正仿宋_GB2312" w:eastAsia="方正仿宋_GB2312" w:cs="方正仿宋_GB2312"/>
          <w:b/>
          <w:bCs/>
          <w:sz w:val="36"/>
          <w:szCs w:val="36"/>
          <w:highlight w:val="none"/>
          <w:lang w:val="zh-CN" w:eastAsia="zh-CN" w:bidi="zh-CN"/>
        </w:rPr>
      </w:pPr>
      <w:r>
        <w:rPr>
          <w:rFonts w:hint="eastAsia" w:ascii="方正仿宋_GB2312" w:hAnsi="方正仿宋_GB2312" w:eastAsia="方正仿宋_GB2312" w:cs="方正仿宋_GB2312"/>
          <w:b/>
          <w:bCs/>
          <w:sz w:val="36"/>
          <w:szCs w:val="36"/>
          <w:highlight w:val="none"/>
          <w:lang w:val="zh-CN" w:eastAsia="zh-CN" w:bidi="zh-CN"/>
        </w:rPr>
        <w:br w:type="page"/>
      </w:r>
    </w:p>
    <w:p w14:paraId="2DB54CB2">
      <w:pPr>
        <w:adjustRightInd w:val="0"/>
        <w:snapToGrid w:val="0"/>
        <w:spacing w:line="500" w:lineRule="exact"/>
        <w:rPr>
          <w:rFonts w:hint="eastAsia" w:ascii="微软雅黑" w:hAnsi="微软雅黑" w:eastAsia="微软雅黑" w:cs="微软雅黑"/>
          <w:sz w:val="24"/>
          <w:highlight w:val="none"/>
          <w:lang w:val="en-US" w:eastAsia="zh-CN"/>
        </w:rPr>
      </w:pPr>
      <w:r>
        <w:rPr>
          <w:rFonts w:hint="eastAsia" w:ascii="微软雅黑" w:hAnsi="微软雅黑" w:eastAsia="微软雅黑" w:cs="微软雅黑"/>
          <w:sz w:val="24"/>
          <w:highlight w:val="none"/>
          <w:lang w:val="en-US" w:eastAsia="zh-CN"/>
        </w:rPr>
        <w:t>附件：</w:t>
      </w:r>
    </w:p>
    <w:p w14:paraId="5942D8BE">
      <w:pPr>
        <w:pStyle w:val="20"/>
        <w:spacing w:before="0" w:after="0" w:line="360" w:lineRule="auto"/>
        <w:rPr>
          <w:rFonts w:ascii="宋体" w:hAnsi="宋体" w:cs="宋体"/>
          <w:color w:val="auto"/>
          <w:sz w:val="24"/>
          <w:szCs w:val="24"/>
          <w:highlight w:val="none"/>
        </w:rPr>
      </w:pPr>
      <w:r>
        <w:rPr>
          <w:rFonts w:hint="eastAsia" w:ascii="宋体" w:hAnsi="宋体" w:cs="宋体"/>
          <w:color w:val="auto"/>
          <w:sz w:val="24"/>
          <w:szCs w:val="24"/>
          <w:highlight w:val="none"/>
        </w:rPr>
        <w:t>廉洁协议</w:t>
      </w:r>
    </w:p>
    <w:p w14:paraId="3FAB7627">
      <w:pPr>
        <w:spacing w:line="360" w:lineRule="auto"/>
        <w:ind w:firstLine="480" w:firstLineChars="200"/>
        <w:rPr>
          <w:rFonts w:hint="eastAsia" w:ascii="宋体" w:hAnsi="宋体" w:cs="宋体"/>
          <w:bCs/>
          <w:color w:val="auto"/>
          <w:sz w:val="24"/>
          <w:szCs w:val="24"/>
          <w:highlight w:val="none"/>
          <w:lang w:val="en-US" w:eastAsia="zh-CN"/>
        </w:rPr>
      </w:pPr>
      <w:r>
        <w:rPr>
          <w:rFonts w:hint="eastAsia" w:ascii="宋体" w:hAnsi="宋体" w:cs="宋体"/>
          <w:bCs/>
          <w:color w:val="auto"/>
          <w:sz w:val="24"/>
          <w:szCs w:val="24"/>
          <w:highlight w:val="none"/>
        </w:rPr>
        <w:t>甲方：</w:t>
      </w:r>
      <w:r>
        <w:rPr>
          <w:rFonts w:hint="eastAsia" w:ascii="宋体" w:hAnsi="宋体" w:cs="宋体"/>
          <w:bCs/>
          <w:color w:val="auto"/>
          <w:sz w:val="24"/>
          <w:szCs w:val="24"/>
          <w:highlight w:val="none"/>
          <w:lang w:val="en-US" w:eastAsia="zh-CN"/>
        </w:rPr>
        <w:t xml:space="preserve"> </w:t>
      </w:r>
    </w:p>
    <w:p w14:paraId="76642AD7">
      <w:pPr>
        <w:spacing w:line="360" w:lineRule="auto"/>
        <w:ind w:firstLine="480" w:firstLineChars="200"/>
        <w:rPr>
          <w:rFonts w:hint="eastAsia" w:ascii="宋体" w:hAnsi="宋体" w:cs="宋体"/>
          <w:bCs/>
          <w:color w:val="auto"/>
          <w:sz w:val="24"/>
          <w:szCs w:val="24"/>
          <w:highlight w:val="none"/>
          <w:lang w:val="en-US" w:eastAsia="zh-CN"/>
        </w:rPr>
      </w:pPr>
      <w:r>
        <w:rPr>
          <w:rFonts w:hint="eastAsia" w:ascii="宋体" w:hAnsi="宋体" w:cs="宋体"/>
          <w:bCs/>
          <w:color w:val="auto"/>
          <w:sz w:val="24"/>
          <w:szCs w:val="24"/>
          <w:highlight w:val="none"/>
        </w:rPr>
        <w:t>乙方：</w:t>
      </w:r>
      <w:r>
        <w:rPr>
          <w:rFonts w:hint="eastAsia" w:ascii="宋体" w:hAnsi="宋体" w:cs="宋体"/>
          <w:bCs/>
          <w:color w:val="auto"/>
          <w:sz w:val="24"/>
          <w:szCs w:val="24"/>
          <w:highlight w:val="none"/>
          <w:lang w:val="en-US" w:eastAsia="zh-CN"/>
        </w:rPr>
        <w:t xml:space="preserve"> </w:t>
      </w:r>
    </w:p>
    <w:p w14:paraId="55DF9D9E">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鉴于双方已签署业务合同或合作协议，为充分体现公平、廉洁、诚信合作的精神，抵制商业贿赂和不正当竞争,维护甲乙双方的利益,保障交易的顺利进行，甲乙双方经协商签订本协议,作为双方共同遵守的廉洁合作行为准则。</w:t>
      </w:r>
    </w:p>
    <w:p w14:paraId="061773DC">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一、定义</w:t>
      </w:r>
    </w:p>
    <w:p w14:paraId="39D0A6DC">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下列用于协议书的文字，除依其文义需做另外的解释外，均依本条要求为准：</w:t>
      </w:r>
    </w:p>
    <w:p w14:paraId="3DD49530">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1、“不正当利益”包括但不限于以下情形：</w:t>
      </w:r>
    </w:p>
    <w:p w14:paraId="7F01A853">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（1）向甲方员工本人或者利害关系人提供任何利益或者利益输送：包括但不限于向甲方上述人员免费提供或者以不合理低价提供旅游、桑拿、沐足、按摩、唱KTV等宴请或各种娱乐场所的VIP卡、金卡、银卡等；</w:t>
      </w:r>
    </w:p>
    <w:p w14:paraId="429ED5F9">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（2）向甲方员工本人或者利害关系人提供正常业务以外的接送服务或者报销差旅费，或者以明显不合理低价的形式向甲方上述人员提供商品；</w:t>
      </w:r>
    </w:p>
    <w:p w14:paraId="7322F27C">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（3）向甲方员工本人或者利害关系人提供借款或者允许上述人员参股乙方企业或关联企业等其他形式的资金及财务往来；</w:t>
      </w:r>
    </w:p>
    <w:p w14:paraId="334E7915">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（4）以任何形式参加甲方员工或者利害关系人的婚庆、生日等活动，或为甲方上述人员装修住房、婚丧嫁娶、利害关系人工作安排以及出国（境）、旅游、谋取工作机会等提供方便；</w:t>
      </w:r>
    </w:p>
    <w:p w14:paraId="286619D4">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（5）其他应当被认定为不正当利益的情形。</w:t>
      </w:r>
    </w:p>
    <w:p w14:paraId="52FC69B1">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2、“甲方人员”是指甲方或甲方关联公司以及相关组织之员工、代理人、谈判代表等。</w:t>
      </w:r>
    </w:p>
    <w:p w14:paraId="12D2A8C1">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3、“利害关系人”包括但不限于甲方人员的配偶、直系亲属以及其它关系密切的亲属、朋友。</w:t>
      </w:r>
    </w:p>
    <w:p w14:paraId="3B4E4F6F">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二、甲方的权利义务</w:t>
      </w:r>
    </w:p>
    <w:p w14:paraId="4DA91558">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1、甲方已向乙方充分披露了本单位有关廉洁合作管理的各项制度和规定。</w:t>
      </w:r>
    </w:p>
    <w:p w14:paraId="527E4DF2">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2、甲方鼓励乙方举报不当利益行为，并承诺对举报者予以保密，且举报一经查实，甲方将按相应的管理制度给予乙方适当的奖励。</w:t>
      </w:r>
    </w:p>
    <w:p w14:paraId="45349F70">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三、乙方的权利义务</w:t>
      </w:r>
    </w:p>
    <w:p w14:paraId="5112C9F0">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1、乙方同意并接受甲方对其在合作期间的廉洁合作管理执行情况进行监督。</w:t>
      </w:r>
    </w:p>
    <w:p w14:paraId="432A441D">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乙方保证向其员工告知，且使其员工了解甲方单位有关廉洁合作管理的各项制度及本协议的规定，并遵照执行，不得在业务洽谈、招标、签约、合同履行等业务开展过程中以任何理由向甲方人员及利害关系人给予任何贿赂、送礼、回扣等不正当利益。</w:t>
      </w:r>
    </w:p>
    <w:p w14:paraId="5F8F3038">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有权拒绝甲方人员及利害关系人任何形式的“不正当利益”要求，乙方保证不通过乙方员工、关联公司、利害关系人实施以下行为：向甲方人员及利害关系人进行任何贿赂或给付其它不正当利益；应甲方人员及利害关系人提出的索要不正当利益的要求而给予不正当利益；未经甲方书面同意而与甲方人员及利害关系人之间发生款项来往，否则该款项将视为不正当利益。</w:t>
      </w:r>
    </w:p>
    <w:p w14:paraId="1526F09C">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4、如乙方知悉甲方人员及其它甲方交易对象有违反本协议书约定的行为，乙方有义务向甲方举报，并提供相关证据。</w:t>
      </w:r>
    </w:p>
    <w:p w14:paraId="06B7E8D2">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5、乙方同意决不为自己或他人的利益，以任何形式唆使或利诱甲方员工离职或违背职务。</w:t>
      </w:r>
    </w:p>
    <w:p w14:paraId="5CB49E27">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6、乙方如与甲方员工为“利害关系人”时，乙方应将该事实立即披露给甲方，否则可视为甲方员工与乙方存在关联关系未申报，甲方可依据《责任追究管理办法》对乙方进行追责。</w:t>
      </w:r>
    </w:p>
    <w:p w14:paraId="09E83A5A">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四、违约责任</w:t>
      </w:r>
    </w:p>
    <w:p w14:paraId="28416AF6">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一旦发现乙方或乙方员工或乙方关联公司、乙方利害关系人违反有关法律或本协议任何约定的，均视为乙方重大违约，乙方应向甲方承担以下一种或多种违约责任，且甲方有权直接从货款或工程款或质保金等任何应付款项中直接抵扣相关违约金及赔偿金，金额不足的，甲方有权向乙方追偿：</w:t>
      </w:r>
    </w:p>
    <w:p w14:paraId="4ED2B666">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1、甲方有权单方解除与乙方所签订的业务合同或合作协议，并有权选择立即中止、终止与乙方正在进行的任何交易关系，乙方应按业务合同或合作协议的约定向甲方承担违约责任；</w:t>
      </w:r>
    </w:p>
    <w:p w14:paraId="2A6E04A1">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2、乙方应将所获得的不当价差（不当价差=业务合同或合作协议所约定的价格-甲方委托有资质的第三方作出的评估价格）返还给甲方；</w:t>
      </w:r>
    </w:p>
    <w:p w14:paraId="6E25475E">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3、乙方应支付甲方相当于贿赂款或不当价差十倍的惩罚性违约金（最低不少于壹拾万元人民币）；</w:t>
      </w:r>
    </w:p>
    <w:p w14:paraId="0E301E2E">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4、如乙方违约，甲方有权将其列入黑名单，永久停止合作。</w:t>
      </w:r>
    </w:p>
    <w:p w14:paraId="7E816C80">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五、举报方法：</w:t>
      </w:r>
    </w:p>
    <w:p w14:paraId="480DD6EF">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举报人可通过以下方式进行举报：</w:t>
      </w:r>
    </w:p>
    <w:p w14:paraId="1B257B9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1、电话：</w:t>
      </w:r>
      <w:r>
        <w:rPr>
          <w:rFonts w:hint="eastAsia" w:ascii="宋体" w:hAnsi="宋体" w:cs="宋体"/>
          <w:color w:val="auto"/>
          <w:sz w:val="24"/>
          <w:szCs w:val="24"/>
          <w:highlight w:val="none"/>
          <w:lang w:val="en-US" w:eastAsia="zh-CN"/>
        </w:rPr>
        <w:t xml:space="preserve">0558-2110265 </w:t>
      </w:r>
      <w:r>
        <w:rPr>
          <w:rFonts w:hint="eastAsia" w:ascii="宋体" w:hAnsi="宋体" w:eastAsia="宋体" w:cs="宋体"/>
          <w:color w:val="auto"/>
          <w:sz w:val="24"/>
          <w:szCs w:val="24"/>
          <w:highlight w:val="none"/>
        </w:rPr>
        <w:t>；</w:t>
      </w:r>
    </w:p>
    <w:p w14:paraId="61EFAB04">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2、电子邮件：</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w:t>
      </w:r>
    </w:p>
    <w:p w14:paraId="1B9179E1">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、书信邮寄：</w:t>
      </w:r>
      <w:r>
        <w:rPr>
          <w:rFonts w:hint="eastAsia" w:ascii="宋体" w:hAnsi="宋体" w:eastAsia="宋体" w:cs="宋体"/>
          <w:color w:val="auto"/>
          <w:sz w:val="24"/>
          <w:szCs w:val="24"/>
          <w:highlight w:val="none"/>
          <w:lang w:val="en-US" w:eastAsia="zh-CN"/>
        </w:rPr>
        <w:t>安徽省阜阳市颍州区清河街道淮河路2000号建投大厦13楼</w:t>
      </w:r>
      <w:r>
        <w:rPr>
          <w:rFonts w:hint="eastAsia" w:ascii="宋体" w:hAnsi="宋体" w:cs="宋体"/>
          <w:color w:val="auto"/>
          <w:sz w:val="24"/>
          <w:szCs w:val="24"/>
          <w:highlight w:val="none"/>
        </w:rPr>
        <w:t>。</w:t>
      </w:r>
    </w:p>
    <w:p w14:paraId="2BD32CF1">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六、其它约定</w:t>
      </w:r>
    </w:p>
    <w:p w14:paraId="044D3A56">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1、本协议书适用于中华人民共和国法律，经双方盖章之日起生效。</w:t>
      </w:r>
    </w:p>
    <w:p w14:paraId="02717829">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本协议作为双方已签署业务合同或合作协议的补充协议，为双方自愿签订，是业务合同或合作协议的有效组成部分，业务合同或合作协议中有关廉洁合作内容与本协议书有分歧或意思表达不一致之处，以本协议书为准；双方业务合同或合作协议的变更或解除，不影响甲方按本协议约定向乙方追究责任及要求赔偿损失的权利。</w:t>
      </w:r>
    </w:p>
    <w:p w14:paraId="4CEFFBC4">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3、因本协议产生的一切争议，双方应协商解决，协商不成，任何一方均有权向甲方所在地人民法院提起诉讼。</w:t>
      </w:r>
    </w:p>
    <w:p w14:paraId="5CC5C503">
      <w:pPr>
        <w:spacing w:line="360" w:lineRule="auto"/>
        <w:ind w:firstLine="480" w:firstLineChars="200"/>
        <w:rPr>
          <w:rFonts w:ascii="宋体" w:hAnsi="宋体" w:cs="宋体"/>
          <w:strike/>
          <w:color w:val="auto"/>
          <w:sz w:val="24"/>
          <w:szCs w:val="24"/>
          <w:highlight w:val="none"/>
        </w:rPr>
      </w:pPr>
      <w:commentRangeStart w:id="2"/>
      <w:r>
        <w:rPr>
          <w:rFonts w:hint="eastAsia" w:ascii="宋体" w:hAnsi="宋体" w:cs="宋体"/>
          <w:color w:val="auto"/>
          <w:sz w:val="24"/>
          <w:szCs w:val="24"/>
          <w:highlight w:val="none"/>
        </w:rPr>
        <w:t>4、本协议书一式</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份，甲方</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份，乙方</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份，具有同等法律效力。</w:t>
      </w:r>
      <w:commentRangeEnd w:id="2"/>
      <w:r>
        <w:rPr>
          <w:highlight w:val="none"/>
        </w:rPr>
        <w:commentReference w:id="2"/>
      </w:r>
    </w:p>
    <w:p w14:paraId="192E8946">
      <w:pPr>
        <w:spacing w:line="360" w:lineRule="auto"/>
        <w:ind w:firstLine="480" w:firstLineChars="200"/>
        <w:rPr>
          <w:rFonts w:ascii="宋体" w:hAnsi="宋体" w:cs="宋体"/>
          <w:color w:val="auto"/>
          <w:sz w:val="24"/>
          <w:szCs w:val="24"/>
          <w:highlight w:val="none"/>
        </w:rPr>
      </w:pPr>
    </w:p>
    <w:p w14:paraId="6E0B621E">
      <w:pPr>
        <w:spacing w:line="360" w:lineRule="auto"/>
        <w:ind w:firstLine="480" w:firstLineChars="200"/>
        <w:rPr>
          <w:rFonts w:ascii="宋体" w:hAnsi="宋体" w:cs="宋体"/>
          <w:color w:val="auto"/>
          <w:sz w:val="24"/>
          <w:szCs w:val="24"/>
          <w:highlight w:val="none"/>
        </w:rPr>
      </w:pPr>
    </w:p>
    <w:p w14:paraId="7B2C1871">
      <w:pPr>
        <w:spacing w:line="360" w:lineRule="auto"/>
        <w:ind w:firstLine="480" w:firstLineChars="200"/>
        <w:rPr>
          <w:rFonts w:ascii="宋体" w:hAnsi="宋体" w:cs="宋体"/>
          <w:color w:val="auto"/>
          <w:sz w:val="24"/>
          <w:szCs w:val="24"/>
          <w:highlight w:val="none"/>
        </w:rPr>
      </w:pPr>
    </w:p>
    <w:p w14:paraId="552C80F7">
      <w:pPr>
        <w:spacing w:line="360" w:lineRule="auto"/>
        <w:ind w:firstLine="480" w:firstLineChars="200"/>
        <w:rPr>
          <w:rFonts w:ascii="宋体" w:hAnsi="宋体" w:cs="宋体"/>
          <w:color w:val="auto"/>
          <w:sz w:val="24"/>
          <w:szCs w:val="24"/>
          <w:highlight w:val="none"/>
        </w:rPr>
      </w:pPr>
    </w:p>
    <w:tbl>
      <w:tblPr>
        <w:tblStyle w:val="22"/>
        <w:tblW w:w="0" w:type="auto"/>
        <w:tblInd w:w="5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1"/>
        <w:gridCol w:w="3913"/>
      </w:tblGrid>
      <w:tr w14:paraId="513B6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4469" w:type="dxa"/>
            <w:noWrap w:val="0"/>
            <w:vAlign w:val="center"/>
          </w:tcPr>
          <w:p w14:paraId="5B4A1B12">
            <w:pPr>
              <w:tabs>
                <w:tab w:val="right" w:pos="8306"/>
              </w:tabs>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甲方（盖章）：</w:t>
            </w:r>
          </w:p>
          <w:p w14:paraId="2C75B1D2">
            <w:pPr>
              <w:tabs>
                <w:tab w:val="right" w:pos="8306"/>
              </w:tabs>
              <w:spacing w:line="360" w:lineRule="auto"/>
              <w:rPr>
                <w:rFonts w:ascii="宋体" w:hAnsi="宋体" w:cs="宋体"/>
                <w:color w:val="auto"/>
                <w:sz w:val="24"/>
                <w:szCs w:val="24"/>
                <w:highlight w:val="none"/>
              </w:rPr>
            </w:pPr>
          </w:p>
          <w:p w14:paraId="4749239F">
            <w:pPr>
              <w:tabs>
                <w:tab w:val="right" w:pos="8306"/>
              </w:tabs>
              <w:spacing w:line="360" w:lineRule="auto"/>
              <w:rPr>
                <w:rFonts w:ascii="宋体" w:hAnsi="宋体" w:cs="宋体"/>
                <w:color w:val="auto"/>
                <w:sz w:val="24"/>
                <w:szCs w:val="24"/>
                <w:highlight w:val="none"/>
              </w:rPr>
            </w:pPr>
          </w:p>
          <w:p w14:paraId="3367C995">
            <w:pPr>
              <w:tabs>
                <w:tab w:val="right" w:pos="8306"/>
              </w:tabs>
              <w:spacing w:line="360" w:lineRule="auto"/>
              <w:rPr>
                <w:rFonts w:ascii="宋体" w:hAnsi="宋体" w:cs="宋体"/>
                <w:color w:val="auto"/>
                <w:sz w:val="24"/>
                <w:szCs w:val="24"/>
                <w:highlight w:val="none"/>
              </w:rPr>
            </w:pPr>
          </w:p>
          <w:p w14:paraId="38CAAB78">
            <w:pPr>
              <w:tabs>
                <w:tab w:val="right" w:pos="8306"/>
              </w:tabs>
              <w:spacing w:line="360" w:lineRule="auto"/>
              <w:rPr>
                <w:rFonts w:ascii="宋体" w:hAnsi="宋体" w:cs="宋体"/>
                <w:color w:val="auto"/>
                <w:sz w:val="24"/>
                <w:szCs w:val="24"/>
                <w:highlight w:val="none"/>
              </w:rPr>
            </w:pPr>
          </w:p>
        </w:tc>
        <w:tc>
          <w:tcPr>
            <w:tcW w:w="3998" w:type="dxa"/>
            <w:noWrap w:val="0"/>
            <w:vAlign w:val="center"/>
          </w:tcPr>
          <w:p w14:paraId="17F56A2A">
            <w:pPr>
              <w:tabs>
                <w:tab w:val="right" w:pos="8306"/>
              </w:tabs>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乙方（盖章）：</w:t>
            </w:r>
          </w:p>
          <w:p w14:paraId="0E3875C8">
            <w:pPr>
              <w:tabs>
                <w:tab w:val="right" w:pos="8306"/>
              </w:tabs>
              <w:spacing w:line="360" w:lineRule="auto"/>
              <w:rPr>
                <w:rFonts w:ascii="宋体" w:hAnsi="宋体" w:cs="宋体"/>
                <w:color w:val="auto"/>
                <w:sz w:val="24"/>
                <w:szCs w:val="24"/>
                <w:highlight w:val="none"/>
              </w:rPr>
            </w:pPr>
          </w:p>
          <w:p w14:paraId="31C89FEE">
            <w:pPr>
              <w:tabs>
                <w:tab w:val="right" w:pos="8306"/>
              </w:tabs>
              <w:spacing w:line="360" w:lineRule="auto"/>
              <w:rPr>
                <w:rFonts w:ascii="宋体" w:hAnsi="宋体" w:cs="宋体"/>
                <w:color w:val="auto"/>
                <w:sz w:val="24"/>
                <w:szCs w:val="24"/>
                <w:highlight w:val="none"/>
              </w:rPr>
            </w:pPr>
          </w:p>
          <w:p w14:paraId="16EC6F21">
            <w:pPr>
              <w:tabs>
                <w:tab w:val="right" w:pos="8306"/>
              </w:tabs>
              <w:spacing w:line="360" w:lineRule="auto"/>
              <w:rPr>
                <w:rFonts w:ascii="宋体" w:hAnsi="宋体" w:cs="宋体"/>
                <w:color w:val="auto"/>
                <w:sz w:val="24"/>
                <w:szCs w:val="24"/>
                <w:highlight w:val="none"/>
              </w:rPr>
            </w:pPr>
          </w:p>
          <w:p w14:paraId="4A853D79">
            <w:pPr>
              <w:tabs>
                <w:tab w:val="right" w:pos="8306"/>
              </w:tabs>
              <w:spacing w:line="360" w:lineRule="auto"/>
              <w:rPr>
                <w:rFonts w:ascii="宋体" w:hAnsi="宋体" w:cs="宋体"/>
                <w:color w:val="auto"/>
                <w:sz w:val="24"/>
                <w:szCs w:val="24"/>
                <w:highlight w:val="none"/>
              </w:rPr>
            </w:pPr>
          </w:p>
        </w:tc>
      </w:tr>
      <w:tr w14:paraId="06E9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4469" w:type="dxa"/>
            <w:noWrap w:val="0"/>
            <w:vAlign w:val="center"/>
          </w:tcPr>
          <w:p w14:paraId="256806D1">
            <w:pPr>
              <w:tabs>
                <w:tab w:val="right" w:pos="8306"/>
              </w:tabs>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法人代表（签字）：</w:t>
            </w:r>
          </w:p>
          <w:p w14:paraId="170CBDB3">
            <w:pPr>
              <w:tabs>
                <w:tab w:val="right" w:pos="8306"/>
              </w:tabs>
              <w:spacing w:line="360" w:lineRule="auto"/>
              <w:rPr>
                <w:rFonts w:ascii="宋体" w:hAnsi="宋体" w:cs="宋体"/>
                <w:color w:val="auto"/>
                <w:sz w:val="24"/>
                <w:szCs w:val="24"/>
                <w:highlight w:val="none"/>
              </w:rPr>
            </w:pPr>
          </w:p>
          <w:p w14:paraId="25B30E2A">
            <w:pPr>
              <w:tabs>
                <w:tab w:val="right" w:pos="8306"/>
              </w:tabs>
              <w:spacing w:line="360" w:lineRule="auto"/>
              <w:rPr>
                <w:rFonts w:ascii="宋体" w:hAnsi="宋体" w:cs="宋体"/>
                <w:color w:val="auto"/>
                <w:sz w:val="24"/>
                <w:szCs w:val="24"/>
                <w:highlight w:val="none"/>
              </w:rPr>
            </w:pPr>
          </w:p>
        </w:tc>
        <w:tc>
          <w:tcPr>
            <w:tcW w:w="3998" w:type="dxa"/>
            <w:noWrap w:val="0"/>
            <w:vAlign w:val="center"/>
          </w:tcPr>
          <w:p w14:paraId="2AC631E4">
            <w:pPr>
              <w:tabs>
                <w:tab w:val="right" w:pos="8306"/>
              </w:tabs>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法人代表（签字）：</w:t>
            </w:r>
          </w:p>
          <w:p w14:paraId="75C00EB1">
            <w:pPr>
              <w:tabs>
                <w:tab w:val="right" w:pos="8306"/>
              </w:tabs>
              <w:spacing w:line="360" w:lineRule="auto"/>
              <w:rPr>
                <w:rFonts w:ascii="宋体" w:hAnsi="宋体" w:cs="宋体"/>
                <w:color w:val="auto"/>
                <w:sz w:val="24"/>
                <w:szCs w:val="24"/>
                <w:highlight w:val="none"/>
              </w:rPr>
            </w:pPr>
          </w:p>
          <w:p w14:paraId="1F5F2C69">
            <w:pPr>
              <w:tabs>
                <w:tab w:val="right" w:pos="8306"/>
              </w:tabs>
              <w:spacing w:line="360" w:lineRule="auto"/>
              <w:rPr>
                <w:rFonts w:ascii="宋体" w:hAnsi="宋体" w:cs="宋体"/>
                <w:color w:val="auto"/>
                <w:sz w:val="24"/>
                <w:szCs w:val="24"/>
                <w:highlight w:val="none"/>
              </w:rPr>
            </w:pPr>
          </w:p>
        </w:tc>
      </w:tr>
    </w:tbl>
    <w:p w14:paraId="03136DE9">
      <w:pPr>
        <w:widowControl/>
        <w:jc w:val="center"/>
        <w:rPr>
          <w:rFonts w:ascii="宋体" w:hAnsi="宋体" w:eastAsia="宋体" w:cs="Times New Roman"/>
          <w:b/>
          <w:bCs/>
          <w:kern w:val="44"/>
          <w:sz w:val="32"/>
          <w:szCs w:val="32"/>
          <w:highlight w:val="none"/>
        </w:rPr>
      </w:pPr>
    </w:p>
    <w:p w14:paraId="7F99A6EC">
      <w:pPr>
        <w:rPr>
          <w:rFonts w:hint="eastAsia" w:ascii="方正仿宋_GB2312" w:hAnsi="方正仿宋_GB2312" w:eastAsia="方正仿宋_GB2312" w:cs="方正仿宋_GB2312"/>
          <w:b/>
          <w:bCs/>
          <w:sz w:val="36"/>
          <w:szCs w:val="36"/>
          <w:highlight w:val="none"/>
          <w:lang w:val="zh-CN" w:eastAsia="zh-CN" w:bidi="zh-CN"/>
        </w:rPr>
      </w:pPr>
      <w:r>
        <w:rPr>
          <w:rFonts w:hint="eastAsia" w:ascii="方正仿宋_GB2312" w:hAnsi="方正仿宋_GB2312" w:eastAsia="方正仿宋_GB2312" w:cs="方正仿宋_GB2312"/>
          <w:b/>
          <w:bCs/>
          <w:sz w:val="36"/>
          <w:szCs w:val="36"/>
          <w:highlight w:val="none"/>
          <w:lang w:val="zh-CN" w:eastAsia="zh-CN" w:bidi="zh-CN"/>
        </w:rPr>
        <w:br w:type="page"/>
      </w:r>
    </w:p>
    <w:bookmarkEnd w:id="35"/>
    <w:p w14:paraId="732F3E48">
      <w:pPr>
        <w:widowControl/>
        <w:jc w:val="both"/>
        <w:rPr>
          <w:rFonts w:ascii="宋体" w:hAnsi="宋体" w:eastAsia="宋体" w:cs="Times New Roman"/>
          <w:b/>
          <w:bCs/>
          <w:kern w:val="44"/>
          <w:sz w:val="32"/>
          <w:szCs w:val="32"/>
          <w:highlight w:val="none"/>
        </w:rPr>
      </w:pPr>
    </w:p>
    <w:p w14:paraId="6D1758F6">
      <w:pPr>
        <w:widowControl/>
        <w:jc w:val="center"/>
        <w:rPr>
          <w:rFonts w:ascii="宋体" w:hAnsi="宋体" w:eastAsia="宋体" w:cs="Times New Roman"/>
          <w:b/>
          <w:bCs/>
          <w:kern w:val="44"/>
          <w:sz w:val="32"/>
          <w:szCs w:val="32"/>
          <w:highlight w:val="none"/>
        </w:rPr>
      </w:pPr>
    </w:p>
    <w:p w14:paraId="2F84A9B3">
      <w:pPr>
        <w:widowControl/>
        <w:jc w:val="center"/>
        <w:outlineLvl w:val="0"/>
        <w:rPr>
          <w:rFonts w:hint="eastAsia" w:ascii="华文中宋" w:hAnsi="华文中宋" w:eastAsia="华文中宋" w:cs="华文中宋"/>
          <w:b/>
          <w:bCs/>
          <w:kern w:val="44"/>
          <w:sz w:val="44"/>
          <w:szCs w:val="44"/>
          <w:highlight w:val="none"/>
        </w:rPr>
      </w:pPr>
      <w:bookmarkStart w:id="36" w:name="_Toc4067"/>
      <w:r>
        <w:rPr>
          <w:rFonts w:hint="eastAsia" w:ascii="华文中宋" w:hAnsi="华文中宋" w:eastAsia="华文中宋" w:cs="华文中宋"/>
          <w:b/>
          <w:bCs/>
          <w:kern w:val="44"/>
          <w:sz w:val="44"/>
          <w:szCs w:val="44"/>
          <w:highlight w:val="none"/>
        </w:rPr>
        <w:t>第</w:t>
      </w:r>
      <w:r>
        <w:rPr>
          <w:rFonts w:hint="eastAsia" w:ascii="华文中宋" w:hAnsi="华文中宋" w:eastAsia="华文中宋" w:cs="华文中宋"/>
          <w:b/>
          <w:bCs/>
          <w:kern w:val="44"/>
          <w:sz w:val="44"/>
          <w:szCs w:val="44"/>
          <w:highlight w:val="none"/>
          <w:lang w:val="en-US" w:eastAsia="zh-CN"/>
        </w:rPr>
        <w:t>六</w:t>
      </w:r>
      <w:r>
        <w:rPr>
          <w:rFonts w:hint="eastAsia" w:ascii="华文中宋" w:hAnsi="华文中宋" w:eastAsia="华文中宋" w:cs="华文中宋"/>
          <w:b/>
          <w:bCs/>
          <w:kern w:val="44"/>
          <w:sz w:val="44"/>
          <w:szCs w:val="44"/>
          <w:highlight w:val="none"/>
        </w:rPr>
        <w:t>章</w:t>
      </w:r>
      <w:r>
        <w:rPr>
          <w:rFonts w:hint="eastAsia" w:ascii="华文中宋" w:hAnsi="华文中宋" w:eastAsia="华文中宋" w:cs="华文中宋"/>
          <w:b/>
          <w:bCs/>
          <w:kern w:val="44"/>
          <w:sz w:val="44"/>
          <w:szCs w:val="44"/>
          <w:highlight w:val="none"/>
          <w:lang w:val="en-US" w:eastAsia="zh-CN"/>
        </w:rPr>
        <w:t xml:space="preserve"> </w:t>
      </w:r>
      <w:r>
        <w:rPr>
          <w:rFonts w:hint="eastAsia" w:ascii="华文中宋" w:hAnsi="华文中宋" w:eastAsia="华文中宋" w:cs="华文中宋"/>
          <w:b/>
          <w:bCs/>
          <w:kern w:val="44"/>
          <w:sz w:val="44"/>
          <w:szCs w:val="44"/>
          <w:highlight w:val="none"/>
        </w:rPr>
        <w:t>响应文件格式</w:t>
      </w:r>
      <w:bookmarkEnd w:id="33"/>
      <w:bookmarkEnd w:id="36"/>
    </w:p>
    <w:p w14:paraId="308077E2">
      <w:pPr>
        <w:jc w:val="center"/>
        <w:outlineLvl w:val="0"/>
        <w:rPr>
          <w:rFonts w:hint="eastAsia" w:ascii="宋体" w:hAnsi="宋体" w:eastAsia="宋体" w:cs="Times New Roman"/>
          <w:sz w:val="28"/>
          <w:szCs w:val="28"/>
          <w:highlight w:val="none"/>
          <w:u w:val="single"/>
        </w:rPr>
      </w:pPr>
      <w:bookmarkStart w:id="37" w:name="_Toc22864"/>
      <w:bookmarkStart w:id="38" w:name="_Toc3372"/>
      <w:bookmarkStart w:id="39" w:name="_Toc32338_WPSOffice_Level1"/>
      <w:bookmarkStart w:id="40" w:name="_Toc13551"/>
      <w:bookmarkStart w:id="41" w:name="_Toc13756_WPSOffice_Level1"/>
    </w:p>
    <w:p w14:paraId="43A92095">
      <w:pPr>
        <w:jc w:val="center"/>
        <w:outlineLvl w:val="0"/>
        <w:rPr>
          <w:rFonts w:ascii="宋体" w:hAnsi="宋体" w:eastAsia="宋体" w:cs="Arial"/>
          <w:sz w:val="28"/>
          <w:szCs w:val="28"/>
          <w:highlight w:val="none"/>
        </w:rPr>
      </w:pPr>
      <w:bookmarkStart w:id="42" w:name="_Toc32173"/>
      <w:bookmarkStart w:id="43" w:name="_Toc25227"/>
      <w:r>
        <w:rPr>
          <w:rFonts w:hint="eastAsia" w:ascii="宋体" w:hAnsi="宋体" w:eastAsia="宋体" w:cs="Times New Roman"/>
          <w:sz w:val="28"/>
          <w:szCs w:val="28"/>
          <w:highlight w:val="none"/>
          <w:u w:val="single"/>
        </w:rPr>
        <w:t>（项目名称）</w:t>
      </w:r>
      <w:bookmarkEnd w:id="37"/>
      <w:bookmarkEnd w:id="38"/>
      <w:bookmarkEnd w:id="39"/>
      <w:bookmarkEnd w:id="40"/>
      <w:bookmarkEnd w:id="41"/>
      <w:bookmarkEnd w:id="42"/>
      <w:bookmarkEnd w:id="43"/>
    </w:p>
    <w:p w14:paraId="03B48CD2">
      <w:pPr>
        <w:jc w:val="center"/>
        <w:rPr>
          <w:rFonts w:ascii="宋体" w:hAnsi="宋体" w:eastAsia="宋体" w:cs="Arial"/>
          <w:b/>
          <w:sz w:val="28"/>
          <w:szCs w:val="28"/>
          <w:highlight w:val="none"/>
        </w:rPr>
      </w:pPr>
      <w:bookmarkStart w:id="44" w:name="_Hlk450146333"/>
    </w:p>
    <w:p w14:paraId="6462E319">
      <w:pPr>
        <w:jc w:val="center"/>
        <w:rPr>
          <w:rFonts w:ascii="宋体" w:hAnsi="宋体" w:eastAsia="宋体" w:cs="Arial"/>
          <w:b/>
          <w:sz w:val="28"/>
          <w:szCs w:val="28"/>
          <w:highlight w:val="none"/>
        </w:rPr>
      </w:pPr>
    </w:p>
    <w:p w14:paraId="0657BF72">
      <w:pPr>
        <w:jc w:val="center"/>
        <w:outlineLvl w:val="0"/>
        <w:rPr>
          <w:rFonts w:ascii="宋体" w:hAnsi="宋体" w:eastAsia="宋体" w:cs="Arial"/>
          <w:sz w:val="28"/>
          <w:szCs w:val="28"/>
          <w:highlight w:val="none"/>
        </w:rPr>
      </w:pPr>
      <w:bookmarkStart w:id="45" w:name="_Toc18887_WPSOffice_Level1"/>
      <w:bookmarkStart w:id="46" w:name="_Toc30441"/>
      <w:bookmarkStart w:id="47" w:name="_Toc20704"/>
      <w:bookmarkStart w:id="48" w:name="_Toc10865"/>
      <w:bookmarkStart w:id="49" w:name="_Toc6044"/>
      <w:bookmarkStart w:id="50" w:name="_Toc361_WPSOffice_Level1"/>
      <w:bookmarkStart w:id="51" w:name="_Toc28461"/>
      <w:r>
        <w:rPr>
          <w:rFonts w:hint="eastAsia" w:ascii="宋体" w:hAnsi="宋体" w:eastAsia="宋体" w:cs="Arial"/>
          <w:sz w:val="28"/>
          <w:szCs w:val="28"/>
          <w:highlight w:val="none"/>
        </w:rPr>
        <w:t xml:space="preserve">响 应 </w:t>
      </w:r>
      <w:bookmarkEnd w:id="44"/>
      <w:r>
        <w:rPr>
          <w:rFonts w:hint="eastAsia" w:ascii="宋体" w:hAnsi="宋体" w:eastAsia="宋体" w:cs="Arial"/>
          <w:sz w:val="28"/>
          <w:szCs w:val="28"/>
          <w:highlight w:val="none"/>
        </w:rPr>
        <w:t>文 件</w:t>
      </w:r>
      <w:bookmarkEnd w:id="45"/>
      <w:bookmarkEnd w:id="46"/>
      <w:bookmarkEnd w:id="47"/>
      <w:bookmarkEnd w:id="48"/>
      <w:bookmarkEnd w:id="49"/>
      <w:bookmarkEnd w:id="50"/>
      <w:bookmarkEnd w:id="51"/>
    </w:p>
    <w:p w14:paraId="31ED0887">
      <w:pPr>
        <w:jc w:val="center"/>
        <w:rPr>
          <w:rFonts w:ascii="宋体" w:hAnsi="宋体" w:eastAsia="宋体" w:cs="Arial"/>
          <w:sz w:val="28"/>
          <w:szCs w:val="28"/>
          <w:highlight w:val="none"/>
        </w:rPr>
      </w:pPr>
    </w:p>
    <w:p w14:paraId="6CCD30C5">
      <w:pPr>
        <w:rPr>
          <w:rFonts w:ascii="宋体" w:hAnsi="宋体" w:eastAsia="宋体" w:cs="Arial"/>
          <w:sz w:val="28"/>
          <w:szCs w:val="28"/>
          <w:highlight w:val="none"/>
        </w:rPr>
      </w:pPr>
      <w:r>
        <w:rPr>
          <w:rFonts w:hint="eastAsia" w:ascii="宋体" w:hAnsi="宋体" w:eastAsia="宋体" w:cs="Arial"/>
          <w:sz w:val="28"/>
          <w:szCs w:val="28"/>
          <w:highlight w:val="none"/>
        </w:rPr>
        <w:t xml:space="preserve"> </w:t>
      </w:r>
    </w:p>
    <w:p w14:paraId="336689A7">
      <w:pPr>
        <w:ind w:firstLine="1120" w:firstLineChars="400"/>
        <w:rPr>
          <w:rFonts w:ascii="宋体" w:hAnsi="宋体" w:eastAsia="宋体" w:cs="Arial"/>
          <w:sz w:val="28"/>
          <w:szCs w:val="28"/>
          <w:highlight w:val="none"/>
        </w:rPr>
      </w:pPr>
      <w:r>
        <w:rPr>
          <w:rFonts w:hint="eastAsia" w:ascii="宋体" w:hAnsi="宋体" w:eastAsia="宋体" w:cs="Arial"/>
          <w:sz w:val="28"/>
          <w:szCs w:val="28"/>
          <w:highlight w:val="none"/>
        </w:rPr>
        <w:t>项目编号：</w:t>
      </w:r>
      <w:r>
        <w:rPr>
          <w:rFonts w:hint="eastAsia" w:ascii="宋体" w:hAnsi="宋体" w:eastAsia="宋体" w:cs="Arial"/>
          <w:sz w:val="28"/>
          <w:szCs w:val="28"/>
          <w:highlight w:val="none"/>
          <w:u w:val="single"/>
        </w:rPr>
        <w:t xml:space="preserve">                         </w:t>
      </w:r>
    </w:p>
    <w:p w14:paraId="44777A9B">
      <w:pPr>
        <w:jc w:val="center"/>
        <w:rPr>
          <w:rFonts w:ascii="宋体" w:hAnsi="宋体" w:eastAsia="宋体" w:cs="Arial"/>
          <w:sz w:val="28"/>
          <w:szCs w:val="28"/>
          <w:highlight w:val="none"/>
        </w:rPr>
      </w:pPr>
    </w:p>
    <w:p w14:paraId="2152C50F">
      <w:pPr>
        <w:ind w:firstLine="1120" w:firstLineChars="400"/>
        <w:rPr>
          <w:rFonts w:ascii="宋体" w:hAnsi="宋体" w:eastAsia="宋体" w:cs="Times New Roman"/>
          <w:sz w:val="28"/>
          <w:szCs w:val="28"/>
          <w:highlight w:val="none"/>
          <w:u w:val="single"/>
        </w:rPr>
      </w:pPr>
      <w:bookmarkStart w:id="52" w:name="_Toc13389_WPSOffice_Level1"/>
      <w:bookmarkStart w:id="53" w:name="_Toc4204_WPSOffice_Level1"/>
      <w:r>
        <w:rPr>
          <w:rFonts w:hint="eastAsia" w:ascii="宋体" w:hAnsi="宋体" w:eastAsia="宋体" w:cs="Arial"/>
          <w:sz w:val="28"/>
          <w:szCs w:val="28"/>
          <w:highlight w:val="none"/>
        </w:rPr>
        <w:t>采购人：</w:t>
      </w:r>
      <w:bookmarkEnd w:id="52"/>
      <w:bookmarkEnd w:id="53"/>
      <w:r>
        <w:rPr>
          <w:rFonts w:hint="eastAsia" w:ascii="宋体" w:hAnsi="宋体" w:eastAsia="宋体" w:cs="Times New Roman"/>
          <w:sz w:val="28"/>
          <w:szCs w:val="28"/>
          <w:highlight w:val="none"/>
          <w:u w:val="single"/>
        </w:rPr>
        <w:t xml:space="preserve">                               </w:t>
      </w:r>
    </w:p>
    <w:p w14:paraId="02779468">
      <w:pPr>
        <w:ind w:firstLine="1540" w:firstLineChars="550"/>
        <w:rPr>
          <w:rFonts w:ascii="宋体" w:hAnsi="宋体" w:eastAsia="宋体" w:cs="Arial"/>
          <w:sz w:val="28"/>
          <w:szCs w:val="28"/>
          <w:highlight w:val="none"/>
        </w:rPr>
      </w:pPr>
    </w:p>
    <w:p w14:paraId="4AC03F68">
      <w:pPr>
        <w:spacing w:line="460" w:lineRule="exact"/>
        <w:ind w:firstLine="1120" w:firstLineChars="400"/>
        <w:rPr>
          <w:rFonts w:ascii="宋体" w:hAnsi="宋体" w:eastAsia="宋体" w:cs="Times New Roman"/>
          <w:sz w:val="28"/>
          <w:szCs w:val="28"/>
          <w:highlight w:val="none"/>
        </w:rPr>
      </w:pPr>
      <w:bookmarkStart w:id="54" w:name="_Toc23736_WPSOffice_Level1"/>
      <w:bookmarkStart w:id="55" w:name="_Toc22977_WPSOffice_Level1"/>
      <w:r>
        <w:rPr>
          <w:rFonts w:hint="eastAsia" w:ascii="宋体" w:hAnsi="宋体" w:eastAsia="宋体" w:cs="Times New Roman"/>
          <w:sz w:val="28"/>
          <w:szCs w:val="28"/>
          <w:highlight w:val="none"/>
        </w:rPr>
        <w:t>供应商</w:t>
      </w:r>
      <w:r>
        <w:rPr>
          <w:rFonts w:hint="eastAsia" w:ascii="宋体" w:hAnsi="宋体" w:eastAsia="宋体" w:cs="Times New Roman"/>
          <w:sz w:val="28"/>
          <w:szCs w:val="28"/>
          <w:highlight w:val="none"/>
          <w:lang w:eastAsia="zh-CN"/>
        </w:rPr>
        <w:t>（</w:t>
      </w:r>
      <w:r>
        <w:rPr>
          <w:rFonts w:hint="eastAsia" w:ascii="宋体" w:hAnsi="宋体" w:eastAsia="宋体" w:cs="Times New Roman"/>
          <w:sz w:val="28"/>
          <w:szCs w:val="28"/>
          <w:highlight w:val="none"/>
          <w:lang w:val="en-US" w:eastAsia="zh-CN"/>
        </w:rPr>
        <w:t>盖章</w:t>
      </w:r>
      <w:r>
        <w:rPr>
          <w:rFonts w:hint="eastAsia" w:ascii="宋体" w:hAnsi="宋体" w:eastAsia="宋体" w:cs="Times New Roman"/>
          <w:sz w:val="28"/>
          <w:szCs w:val="28"/>
          <w:highlight w:val="none"/>
          <w:lang w:eastAsia="zh-CN"/>
        </w:rPr>
        <w:t>）</w:t>
      </w:r>
      <w:r>
        <w:rPr>
          <w:rFonts w:hint="eastAsia" w:ascii="宋体" w:hAnsi="宋体" w:eastAsia="宋体" w:cs="Times New Roman"/>
          <w:sz w:val="28"/>
          <w:szCs w:val="28"/>
          <w:highlight w:val="none"/>
        </w:rPr>
        <w:t>：</w:t>
      </w:r>
      <w:r>
        <w:rPr>
          <w:rFonts w:hint="eastAsia" w:ascii="宋体" w:hAnsi="宋体" w:eastAsia="宋体" w:cs="Times New Roman"/>
          <w:sz w:val="28"/>
          <w:szCs w:val="28"/>
          <w:highlight w:val="none"/>
          <w:u w:val="single"/>
        </w:rPr>
        <w:t xml:space="preserve">                             </w:t>
      </w:r>
      <w:bookmarkEnd w:id="54"/>
      <w:bookmarkEnd w:id="55"/>
    </w:p>
    <w:p w14:paraId="3616D92F">
      <w:pPr>
        <w:spacing w:line="460" w:lineRule="exact"/>
        <w:ind w:firstLine="854" w:firstLineChars="305"/>
        <w:rPr>
          <w:rFonts w:ascii="宋体" w:hAnsi="宋体" w:eastAsia="宋体" w:cs="Times New Roman"/>
          <w:sz w:val="28"/>
          <w:szCs w:val="28"/>
          <w:highlight w:val="none"/>
          <w:u w:val="single"/>
        </w:rPr>
      </w:pPr>
    </w:p>
    <w:p w14:paraId="34DFFA4D">
      <w:pPr>
        <w:spacing w:line="460" w:lineRule="exact"/>
        <w:ind w:firstLine="854" w:firstLineChars="305"/>
        <w:rPr>
          <w:rFonts w:ascii="宋体" w:hAnsi="宋体" w:eastAsia="宋体" w:cs="Times New Roman"/>
          <w:sz w:val="28"/>
          <w:szCs w:val="28"/>
          <w:highlight w:val="none"/>
          <w:u w:val="single"/>
        </w:rPr>
      </w:pPr>
      <w:r>
        <w:rPr>
          <w:rFonts w:hint="eastAsia" w:ascii="宋体" w:hAnsi="宋体" w:eastAsia="宋体" w:cs="Times New Roman"/>
          <w:sz w:val="28"/>
          <w:szCs w:val="28"/>
          <w:highlight w:val="none"/>
        </w:rPr>
        <w:t xml:space="preserve">  </w:t>
      </w:r>
      <w:bookmarkStart w:id="56" w:name="_Toc22449_WPSOffice_Level1"/>
      <w:bookmarkStart w:id="57" w:name="_Toc7448_WPSOffice_Level1"/>
      <w:r>
        <w:rPr>
          <w:rFonts w:hint="eastAsia" w:ascii="宋体" w:hAnsi="宋体" w:eastAsia="宋体" w:cs="Times New Roman"/>
          <w:sz w:val="28"/>
          <w:szCs w:val="28"/>
          <w:highlight w:val="none"/>
        </w:rPr>
        <w:t>法定代表人或其委托代理人：</w:t>
      </w:r>
      <w:r>
        <w:rPr>
          <w:rFonts w:hint="eastAsia" w:ascii="宋体" w:hAnsi="宋体" w:eastAsia="宋体" w:cs="Times New Roman"/>
          <w:sz w:val="28"/>
          <w:szCs w:val="28"/>
          <w:highlight w:val="none"/>
          <w:u w:val="single"/>
        </w:rPr>
        <w:t xml:space="preserve">              </w:t>
      </w:r>
      <w:r>
        <w:rPr>
          <w:rFonts w:hint="eastAsia" w:ascii="宋体" w:hAnsi="宋体" w:eastAsia="宋体" w:cs="Times New Roman"/>
          <w:sz w:val="28"/>
          <w:szCs w:val="28"/>
          <w:highlight w:val="none"/>
        </w:rPr>
        <w:t>（签字或盖章）</w:t>
      </w:r>
      <w:bookmarkEnd w:id="56"/>
      <w:bookmarkEnd w:id="57"/>
    </w:p>
    <w:p w14:paraId="003417B0">
      <w:pPr>
        <w:spacing w:line="460" w:lineRule="exact"/>
        <w:rPr>
          <w:rFonts w:ascii="宋体" w:hAnsi="宋体" w:eastAsia="宋体" w:cs="Times New Roman"/>
          <w:sz w:val="28"/>
          <w:szCs w:val="28"/>
          <w:highlight w:val="none"/>
        </w:rPr>
      </w:pPr>
    </w:p>
    <w:p w14:paraId="2D63D73F">
      <w:pPr>
        <w:spacing w:line="460" w:lineRule="exact"/>
        <w:ind w:firstLine="435"/>
        <w:rPr>
          <w:rFonts w:ascii="宋体" w:hAnsi="宋体" w:eastAsia="宋体" w:cs="Times New Roman"/>
          <w:sz w:val="28"/>
          <w:szCs w:val="28"/>
          <w:highlight w:val="none"/>
        </w:rPr>
      </w:pPr>
    </w:p>
    <w:p w14:paraId="6A4011BE">
      <w:pPr>
        <w:spacing w:line="460" w:lineRule="exact"/>
        <w:ind w:firstLine="435"/>
        <w:jc w:val="center"/>
        <w:rPr>
          <w:rFonts w:ascii="宋体" w:hAnsi="宋体" w:eastAsia="宋体" w:cs="Times New Roman"/>
          <w:sz w:val="28"/>
          <w:szCs w:val="28"/>
          <w:highlight w:val="none"/>
        </w:rPr>
      </w:pPr>
    </w:p>
    <w:p w14:paraId="7F909C75">
      <w:pPr>
        <w:spacing w:line="460" w:lineRule="exact"/>
        <w:ind w:firstLine="435"/>
        <w:jc w:val="center"/>
        <w:rPr>
          <w:rFonts w:ascii="宋体" w:hAnsi="宋体" w:eastAsia="宋体" w:cs="Times New Roman"/>
          <w:sz w:val="28"/>
          <w:szCs w:val="28"/>
          <w:highlight w:val="none"/>
        </w:rPr>
      </w:pPr>
    </w:p>
    <w:p w14:paraId="46F39752">
      <w:pPr>
        <w:spacing w:line="460" w:lineRule="exact"/>
        <w:ind w:firstLine="435"/>
        <w:jc w:val="center"/>
        <w:rPr>
          <w:rFonts w:ascii="宋体" w:hAnsi="宋体" w:eastAsia="宋体" w:cs="Times New Roman"/>
          <w:sz w:val="28"/>
          <w:szCs w:val="28"/>
          <w:highlight w:val="none"/>
        </w:rPr>
      </w:pPr>
    </w:p>
    <w:p w14:paraId="598B0660">
      <w:pPr>
        <w:spacing w:line="460" w:lineRule="exact"/>
        <w:ind w:firstLine="435"/>
        <w:jc w:val="center"/>
        <w:outlineLvl w:val="0"/>
        <w:rPr>
          <w:rFonts w:ascii="宋体" w:hAnsi="宋体" w:eastAsia="宋体" w:cs="Times New Roman"/>
          <w:sz w:val="28"/>
          <w:szCs w:val="28"/>
          <w:highlight w:val="none"/>
        </w:rPr>
      </w:pPr>
      <w:bookmarkStart w:id="58" w:name="_Toc532"/>
      <w:bookmarkStart w:id="59" w:name="_Toc17804_WPSOffice_Level2"/>
      <w:bookmarkStart w:id="60" w:name="_Toc11712_WPSOffice_Level2"/>
      <w:r>
        <w:rPr>
          <w:rFonts w:hint="eastAsia" w:ascii="宋体" w:hAnsi="宋体" w:eastAsia="宋体" w:cs="Times New Roman"/>
          <w:sz w:val="28"/>
          <w:szCs w:val="28"/>
          <w:highlight w:val="none"/>
          <w:u w:val="single"/>
          <w:lang w:val="en-US" w:eastAsia="zh-CN"/>
        </w:rPr>
        <w:t xml:space="preserve">    </w:t>
      </w:r>
      <w:bookmarkStart w:id="61" w:name="_Toc9113"/>
      <w:bookmarkStart w:id="62" w:name="_Toc8342"/>
      <w:bookmarkStart w:id="63" w:name="_Toc438"/>
      <w:bookmarkStart w:id="64" w:name="_Toc3016"/>
      <w:r>
        <w:rPr>
          <w:rFonts w:hint="eastAsia" w:ascii="宋体" w:hAnsi="宋体" w:eastAsia="宋体" w:cs="Times New Roman"/>
          <w:sz w:val="28"/>
          <w:szCs w:val="28"/>
          <w:highlight w:val="none"/>
        </w:rPr>
        <w:t>年</w:t>
      </w:r>
      <w:r>
        <w:rPr>
          <w:rFonts w:hint="eastAsia" w:ascii="宋体" w:hAnsi="宋体" w:eastAsia="宋体" w:cs="Times New Roman"/>
          <w:sz w:val="28"/>
          <w:szCs w:val="28"/>
          <w:highlight w:val="none"/>
          <w:u w:val="single"/>
        </w:rPr>
        <w:t xml:space="preserve">    </w:t>
      </w:r>
      <w:r>
        <w:rPr>
          <w:rFonts w:hint="eastAsia" w:ascii="宋体" w:hAnsi="宋体" w:eastAsia="宋体" w:cs="Times New Roman"/>
          <w:sz w:val="28"/>
          <w:szCs w:val="28"/>
          <w:highlight w:val="none"/>
        </w:rPr>
        <w:t>月</w:t>
      </w:r>
      <w:r>
        <w:rPr>
          <w:rFonts w:hint="eastAsia" w:ascii="宋体" w:hAnsi="宋体" w:eastAsia="宋体" w:cs="Times New Roman"/>
          <w:sz w:val="28"/>
          <w:szCs w:val="28"/>
          <w:highlight w:val="none"/>
          <w:u w:val="single"/>
        </w:rPr>
        <w:t xml:space="preserve">     </w:t>
      </w:r>
      <w:r>
        <w:rPr>
          <w:rFonts w:hint="eastAsia" w:ascii="宋体" w:hAnsi="宋体" w:eastAsia="宋体" w:cs="Times New Roman"/>
          <w:sz w:val="28"/>
          <w:szCs w:val="28"/>
          <w:highlight w:val="none"/>
        </w:rPr>
        <w:t>日</w:t>
      </w:r>
      <w:bookmarkEnd w:id="58"/>
      <w:bookmarkEnd w:id="59"/>
      <w:bookmarkEnd w:id="60"/>
      <w:bookmarkEnd w:id="61"/>
      <w:bookmarkEnd w:id="62"/>
      <w:bookmarkEnd w:id="63"/>
      <w:bookmarkEnd w:id="64"/>
    </w:p>
    <w:p w14:paraId="66A77CE7">
      <w:pPr>
        <w:rPr>
          <w:rFonts w:ascii="宋体" w:hAnsi="宋体" w:eastAsia="宋体" w:cs="Arial"/>
          <w:sz w:val="28"/>
          <w:szCs w:val="28"/>
          <w:highlight w:val="none"/>
        </w:rPr>
      </w:pPr>
    </w:p>
    <w:p w14:paraId="782C7908">
      <w:pPr>
        <w:widowControl/>
        <w:jc w:val="left"/>
        <w:rPr>
          <w:rFonts w:ascii="宋体" w:hAnsi="宋体" w:eastAsia="宋体" w:cs="Times New Roman"/>
          <w:sz w:val="28"/>
          <w:szCs w:val="28"/>
          <w:highlight w:val="none"/>
        </w:rPr>
      </w:pPr>
      <w:r>
        <w:rPr>
          <w:rFonts w:ascii="宋体" w:hAnsi="宋体" w:eastAsia="宋体" w:cs="Times New Roman"/>
          <w:sz w:val="28"/>
          <w:szCs w:val="28"/>
          <w:highlight w:val="none"/>
        </w:rPr>
        <w:br w:type="page"/>
      </w:r>
    </w:p>
    <w:p w14:paraId="5CDF2FEC">
      <w:pPr>
        <w:numPr>
          <w:ilvl w:val="0"/>
          <w:numId w:val="1"/>
        </w:numPr>
        <w:autoSpaceDE w:val="0"/>
        <w:autoSpaceDN w:val="0"/>
        <w:spacing w:before="132"/>
        <w:ind w:right="1503"/>
        <w:jc w:val="center"/>
        <w:outlineLvl w:val="0"/>
        <w:rPr>
          <w:rFonts w:ascii="宋体" w:hAnsi="宋体" w:eastAsia="宋体" w:cs="宋体"/>
          <w:b/>
          <w:bCs/>
          <w:kern w:val="0"/>
          <w:szCs w:val="21"/>
          <w:highlight w:val="none"/>
          <w:lang w:val="zh-CN" w:bidi="zh-CN"/>
        </w:rPr>
      </w:pPr>
      <w:bookmarkStart w:id="65" w:name="_Toc1193"/>
      <w:bookmarkStart w:id="66" w:name="_Toc24257"/>
      <w:bookmarkStart w:id="67" w:name="_Toc10040"/>
      <w:bookmarkStart w:id="68" w:name="_Toc5315"/>
      <w:bookmarkStart w:id="69" w:name="_Toc8439"/>
      <w:r>
        <w:rPr>
          <w:rFonts w:hint="eastAsia" w:ascii="宋体" w:hAnsi="宋体" w:eastAsia="宋体" w:cs="宋体"/>
          <w:b/>
          <w:bCs/>
          <w:kern w:val="0"/>
          <w:szCs w:val="21"/>
          <w:highlight w:val="none"/>
          <w:lang w:val="zh-CN" w:bidi="zh-CN"/>
        </w:rPr>
        <w:t>报价</w:t>
      </w:r>
      <w:r>
        <w:rPr>
          <w:rFonts w:ascii="宋体" w:hAnsi="宋体" w:eastAsia="宋体" w:cs="宋体"/>
          <w:b/>
          <w:bCs/>
          <w:kern w:val="0"/>
          <w:szCs w:val="21"/>
          <w:highlight w:val="none"/>
          <w:lang w:val="zh-CN" w:bidi="zh-CN"/>
        </w:rPr>
        <w:t>一览表</w:t>
      </w:r>
      <w:bookmarkEnd w:id="65"/>
      <w:bookmarkEnd w:id="66"/>
      <w:bookmarkEnd w:id="67"/>
      <w:bookmarkEnd w:id="68"/>
      <w:bookmarkEnd w:id="69"/>
    </w:p>
    <w:p w14:paraId="16D7F620">
      <w:pPr>
        <w:numPr>
          <w:ilvl w:val="0"/>
          <w:numId w:val="0"/>
        </w:numPr>
        <w:autoSpaceDE w:val="0"/>
        <w:autoSpaceDN w:val="0"/>
        <w:spacing w:before="132"/>
        <w:ind w:left="1367" w:leftChars="0" w:right="1503" w:rightChars="0"/>
        <w:jc w:val="both"/>
        <w:outlineLvl w:val="0"/>
        <w:rPr>
          <w:rFonts w:ascii="宋体" w:hAnsi="宋体" w:eastAsia="宋体" w:cs="宋体"/>
          <w:b/>
          <w:bCs/>
          <w:kern w:val="0"/>
          <w:szCs w:val="21"/>
          <w:highlight w:val="none"/>
          <w:lang w:val="zh-CN" w:bidi="zh-CN"/>
        </w:rPr>
      </w:pPr>
    </w:p>
    <w:p w14:paraId="1405EA0C">
      <w:pPr>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1-1 报价表</w:t>
      </w:r>
    </w:p>
    <w:p w14:paraId="4A826C01">
      <w:pPr>
        <w:rPr>
          <w:rFonts w:hint="default" w:ascii="Times New Roman" w:hAnsi="Times New Roman" w:eastAsia="宋体" w:cs="Times New Roman"/>
          <w:szCs w:val="21"/>
          <w:highlight w:val="none"/>
          <w:lang w:val="en-US" w:eastAsia="zh-CN"/>
        </w:rPr>
      </w:pPr>
    </w:p>
    <w:p w14:paraId="2981344B">
      <w:pPr>
        <w:rPr>
          <w:rFonts w:hint="default" w:ascii="Times New Roman" w:hAnsi="Times New Roman" w:eastAsia="宋体" w:cs="Times New Roman"/>
          <w:szCs w:val="21"/>
          <w:highlight w:val="none"/>
          <w:lang w:val="en-US" w:eastAsia="zh-CN"/>
        </w:rPr>
      </w:pPr>
    </w:p>
    <w:p w14:paraId="5EAFCFA3">
      <w:pPr>
        <w:spacing w:line="360" w:lineRule="auto"/>
        <w:ind w:left="29" w:leftChars="14" w:firstLine="211" w:firstLineChars="100"/>
        <w:rPr>
          <w:rFonts w:hint="default" w:eastAsiaTheme="minorEastAsia"/>
          <w:b/>
          <w:sz w:val="21"/>
          <w:szCs w:val="21"/>
          <w:highlight w:val="none"/>
          <w:u w:val="single"/>
          <w:lang w:val="en-US" w:eastAsia="zh-CN"/>
        </w:rPr>
      </w:pPr>
      <w:r>
        <w:rPr>
          <w:b/>
          <w:sz w:val="21"/>
          <w:szCs w:val="21"/>
          <w:highlight w:val="none"/>
        </w:rPr>
        <w:t>项目名称：</w:t>
      </w:r>
      <w:r>
        <w:rPr>
          <w:rFonts w:hint="eastAsia"/>
          <w:b/>
          <w:sz w:val="21"/>
          <w:szCs w:val="21"/>
          <w:highlight w:val="none"/>
          <w:u w:val="single"/>
          <w:lang w:val="en-US" w:eastAsia="zh-CN"/>
        </w:rPr>
        <w:t xml:space="preserve">                        </w:t>
      </w:r>
    </w:p>
    <w:p w14:paraId="7048AE16">
      <w:pPr>
        <w:spacing w:line="360" w:lineRule="auto"/>
        <w:ind w:left="29" w:leftChars="14" w:firstLine="211" w:firstLineChars="100"/>
        <w:rPr>
          <w:b/>
          <w:sz w:val="21"/>
          <w:szCs w:val="21"/>
          <w:highlight w:val="none"/>
        </w:rPr>
      </w:pPr>
      <w:r>
        <w:rPr>
          <w:b/>
          <w:sz w:val="21"/>
          <w:szCs w:val="21"/>
          <w:highlight w:val="none"/>
        </w:rPr>
        <w:t>项目编号：</w:t>
      </w:r>
      <w:r>
        <w:rPr>
          <w:rFonts w:hint="eastAsia"/>
          <w:b/>
          <w:sz w:val="21"/>
          <w:szCs w:val="21"/>
          <w:highlight w:val="none"/>
          <w:u w:val="single"/>
          <w:lang w:val="en-US" w:eastAsia="zh-CN"/>
        </w:rPr>
        <w:t xml:space="preserve">                        </w:t>
      </w:r>
    </w:p>
    <w:p w14:paraId="36BDC655">
      <w:pPr>
        <w:autoSpaceDE w:val="0"/>
        <w:autoSpaceDN w:val="0"/>
        <w:spacing w:before="4"/>
        <w:jc w:val="left"/>
        <w:rPr>
          <w:rFonts w:ascii="宋体" w:hAnsi="宋体" w:eastAsia="宋体" w:cs="宋体"/>
          <w:b/>
          <w:kern w:val="0"/>
          <w:sz w:val="6"/>
          <w:szCs w:val="24"/>
          <w:highlight w:val="none"/>
          <w:lang w:val="zh-CN" w:bidi="zh-CN"/>
        </w:rPr>
      </w:pPr>
    </w:p>
    <w:tbl>
      <w:tblPr>
        <w:tblStyle w:val="2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5"/>
        <w:gridCol w:w="6220"/>
      </w:tblGrid>
      <w:tr w14:paraId="37E59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trPr>
        <w:tc>
          <w:tcPr>
            <w:tcW w:w="2305" w:type="dxa"/>
            <w:vAlign w:val="center"/>
          </w:tcPr>
          <w:p w14:paraId="6B2680C6">
            <w:pPr>
              <w:autoSpaceDE w:val="0"/>
              <w:autoSpaceDN w:val="0"/>
              <w:spacing w:before="160" w:line="360" w:lineRule="auto"/>
              <w:ind w:left="528" w:right="521"/>
              <w:jc w:val="left"/>
              <w:rPr>
                <w:rFonts w:hint="default" w:ascii="宋体" w:hAnsi="宋体" w:eastAsia="宋体" w:cs="宋体"/>
                <w:b/>
                <w:kern w:val="0"/>
                <w:szCs w:val="21"/>
                <w:highlight w:val="none"/>
                <w:lang w:val="en-US" w:eastAsia="zh-CN"/>
              </w:rPr>
            </w:pPr>
            <w:r>
              <w:rPr>
                <w:rFonts w:hint="eastAsia" w:ascii="宋体" w:hAnsi="宋体" w:eastAsia="宋体" w:cs="宋体"/>
                <w:b/>
                <w:kern w:val="0"/>
                <w:szCs w:val="21"/>
                <w:highlight w:val="none"/>
              </w:rPr>
              <w:t>供应商</w:t>
            </w:r>
            <w:r>
              <w:rPr>
                <w:rFonts w:ascii="宋体" w:hAnsi="宋体" w:eastAsia="宋体" w:cs="宋体"/>
                <w:b/>
                <w:kern w:val="0"/>
                <w:szCs w:val="21"/>
                <w:highlight w:val="none"/>
                <w:lang w:eastAsia="en-US"/>
              </w:rPr>
              <w:t>全称</w:t>
            </w:r>
          </w:p>
        </w:tc>
        <w:tc>
          <w:tcPr>
            <w:tcW w:w="6220" w:type="dxa"/>
            <w:vAlign w:val="center"/>
          </w:tcPr>
          <w:p w14:paraId="3C7249AF">
            <w:pPr>
              <w:autoSpaceDE w:val="0"/>
              <w:autoSpaceDN w:val="0"/>
              <w:spacing w:before="160" w:line="360" w:lineRule="auto"/>
              <w:ind w:left="2727" w:right="2720"/>
              <w:jc w:val="left"/>
              <w:rPr>
                <w:rFonts w:ascii="宋体" w:hAnsi="宋体" w:eastAsia="宋体" w:cs="宋体"/>
                <w:b/>
                <w:kern w:val="0"/>
                <w:szCs w:val="21"/>
                <w:highlight w:val="none"/>
                <w:lang w:eastAsia="en-US"/>
              </w:rPr>
            </w:pPr>
          </w:p>
        </w:tc>
      </w:tr>
      <w:tr w14:paraId="4F86E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2305" w:type="dxa"/>
            <w:vAlign w:val="center"/>
          </w:tcPr>
          <w:p w14:paraId="17238EFE">
            <w:pPr>
              <w:autoSpaceDE w:val="0"/>
              <w:autoSpaceDN w:val="0"/>
              <w:spacing w:before="122" w:line="360" w:lineRule="auto"/>
              <w:ind w:left="528" w:right="521"/>
              <w:jc w:val="left"/>
              <w:rPr>
                <w:rFonts w:hint="default" w:ascii="宋体" w:hAnsi="宋体" w:eastAsia="宋体" w:cs="宋体"/>
                <w:b/>
                <w:kern w:val="0"/>
                <w:szCs w:val="21"/>
                <w:highlight w:val="none"/>
                <w:lang w:val="en-US" w:eastAsia="zh-CN"/>
              </w:rPr>
            </w:pPr>
            <w:r>
              <w:rPr>
                <w:rFonts w:hint="eastAsia" w:ascii="宋体" w:hAnsi="宋体" w:eastAsia="宋体" w:cs="宋体"/>
                <w:b/>
                <w:kern w:val="0"/>
                <w:szCs w:val="21"/>
                <w:highlight w:val="none"/>
                <w:lang w:val="en-US" w:eastAsia="zh-CN"/>
              </w:rPr>
              <w:t>所投包段</w:t>
            </w:r>
          </w:p>
        </w:tc>
        <w:tc>
          <w:tcPr>
            <w:tcW w:w="6220" w:type="dxa"/>
            <w:vAlign w:val="center"/>
          </w:tcPr>
          <w:p w14:paraId="24508D59">
            <w:pPr>
              <w:autoSpaceDE w:val="0"/>
              <w:autoSpaceDN w:val="0"/>
              <w:spacing w:line="360" w:lineRule="auto"/>
              <w:jc w:val="left"/>
              <w:rPr>
                <w:rFonts w:hint="default" w:ascii="宋体" w:hAnsi="宋体" w:eastAsia="宋体" w:cs="宋体"/>
                <w:kern w:val="0"/>
                <w:szCs w:val="21"/>
                <w:highlight w:val="none"/>
                <w:lang w:val="en-US" w:eastAsia="en-US"/>
              </w:rPr>
            </w:pPr>
            <w:r>
              <w:rPr>
                <w:rFonts w:hint="default" w:ascii="宋体" w:hAnsi="宋体" w:eastAsia="宋体" w:cs="宋体"/>
                <w:b w:val="0"/>
                <w:bCs/>
                <w:color w:val="auto"/>
                <w:sz w:val="21"/>
                <w:szCs w:val="21"/>
                <w:highlight w:val="none"/>
                <w:lang w:val="en-US" w:eastAsia="en-US" w:bidi="zh-CN"/>
              </w:rPr>
              <w:t>□包1：</w:t>
            </w:r>
            <w:r>
              <w:rPr>
                <w:rFonts w:hint="eastAsia" w:ascii="宋体" w:hAnsi="宋体" w:eastAsia="宋体" w:cs="宋体"/>
                <w:b w:val="0"/>
                <w:bCs/>
                <w:color w:val="auto"/>
                <w:sz w:val="21"/>
                <w:szCs w:val="21"/>
                <w:highlight w:val="none"/>
                <w:lang w:val="en-US" w:eastAsia="en-US" w:bidi="zh-CN"/>
              </w:rPr>
              <w:t>涂白剂</w:t>
            </w:r>
            <w:r>
              <w:rPr>
                <w:rFonts w:hint="eastAsia" w:cs="宋体"/>
                <w:b w:val="0"/>
                <w:bCs/>
                <w:color w:val="auto"/>
                <w:sz w:val="21"/>
                <w:szCs w:val="21"/>
                <w:highlight w:val="none"/>
                <w:lang w:val="en-US" w:eastAsia="en-US" w:bidi="zh-CN"/>
              </w:rPr>
              <w:t xml:space="preserve">  </w:t>
            </w:r>
            <w:r>
              <w:rPr>
                <w:rFonts w:hint="default" w:ascii="宋体" w:hAnsi="宋体" w:eastAsia="宋体" w:cs="宋体"/>
                <w:b w:val="0"/>
                <w:bCs/>
                <w:color w:val="auto"/>
                <w:sz w:val="21"/>
                <w:szCs w:val="21"/>
                <w:highlight w:val="none"/>
                <w:lang w:val="en-US" w:eastAsia="en-US" w:bidi="zh-CN"/>
              </w:rPr>
              <w:t>□包2：</w:t>
            </w:r>
            <w:r>
              <w:rPr>
                <w:rFonts w:hint="eastAsia" w:ascii="宋体" w:hAnsi="宋体" w:eastAsia="宋体" w:cs="宋体"/>
                <w:b w:val="0"/>
                <w:bCs/>
                <w:color w:val="auto"/>
                <w:sz w:val="21"/>
                <w:szCs w:val="21"/>
                <w:highlight w:val="none"/>
                <w:lang w:val="en-US" w:eastAsia="en-US" w:bidi="zh-CN"/>
              </w:rPr>
              <w:t>保温棉、保温膜</w:t>
            </w:r>
          </w:p>
        </w:tc>
      </w:tr>
      <w:tr w14:paraId="1FF45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3" w:hRule="atLeast"/>
        </w:trPr>
        <w:tc>
          <w:tcPr>
            <w:tcW w:w="2305" w:type="dxa"/>
            <w:vAlign w:val="center"/>
          </w:tcPr>
          <w:p w14:paraId="1DDC1E4D">
            <w:pPr>
              <w:autoSpaceDE w:val="0"/>
              <w:autoSpaceDN w:val="0"/>
              <w:spacing w:before="124" w:line="360" w:lineRule="auto"/>
              <w:ind w:left="528" w:right="521"/>
              <w:jc w:val="left"/>
              <w:rPr>
                <w:rFonts w:hint="eastAsia" w:ascii="宋体" w:hAnsi="宋体" w:eastAsia="宋体" w:cs="宋体"/>
                <w:b/>
                <w:kern w:val="0"/>
                <w:szCs w:val="21"/>
                <w:highlight w:val="none"/>
                <w:lang w:eastAsia="zh-CN"/>
              </w:rPr>
            </w:pPr>
            <w:r>
              <w:rPr>
                <w:rFonts w:ascii="宋体" w:hAnsi="宋体" w:eastAsia="宋体" w:cs="宋体"/>
                <w:b/>
                <w:kern w:val="0"/>
                <w:szCs w:val="21"/>
                <w:highlight w:val="none"/>
                <w:lang w:eastAsia="en-US"/>
              </w:rPr>
              <w:t>报价</w:t>
            </w:r>
          </w:p>
        </w:tc>
        <w:tc>
          <w:tcPr>
            <w:tcW w:w="6220" w:type="dxa"/>
            <w:vAlign w:val="center"/>
          </w:tcPr>
          <w:p w14:paraId="2D3E3E87">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2" w:leftChars="0" w:right="0" w:hanging="632" w:hangingChars="300"/>
              <w:jc w:val="left"/>
              <w:textAlignment w:val="auto"/>
              <w:rPr>
                <w:rFonts w:hint="eastAsia" w:cs="宋体"/>
                <w:b/>
                <w:bCs w:val="0"/>
                <w:color w:val="auto"/>
                <w:sz w:val="21"/>
                <w:szCs w:val="21"/>
                <w:highlight w:val="none"/>
                <w:lang w:val="en-US" w:eastAsia="zh-CN"/>
              </w:rPr>
            </w:pPr>
            <w:r>
              <w:rPr>
                <w:rFonts w:hint="eastAsia" w:cs="宋体"/>
                <w:b/>
                <w:bCs w:val="0"/>
                <w:color w:val="auto"/>
                <w:sz w:val="21"/>
                <w:szCs w:val="21"/>
                <w:highlight w:val="none"/>
                <w:lang w:val="en-US" w:eastAsia="zh-CN"/>
              </w:rPr>
              <w:t>1.</w:t>
            </w:r>
            <w:r>
              <w:rPr>
                <w:rFonts w:hint="eastAsia" w:ascii="宋体" w:hAnsi="宋体" w:eastAsia="宋体" w:cs="宋体"/>
                <w:b/>
                <w:bCs w:val="0"/>
                <w:color w:val="auto"/>
                <w:sz w:val="21"/>
                <w:szCs w:val="21"/>
                <w:highlight w:val="none"/>
                <w:lang w:val="en-US" w:eastAsia="en-US" w:bidi="zh-CN"/>
              </w:rPr>
              <w:t>涂白剂</w:t>
            </w:r>
          </w:p>
          <w:p w14:paraId="0B98517A">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0" w:leftChars="0" w:right="0" w:hanging="630" w:hangingChars="300"/>
              <w:jc w:val="left"/>
              <w:textAlignment w:val="auto"/>
              <w:rPr>
                <w:rFonts w:hint="eastAsia" w:ascii="宋体" w:hAnsi="宋体" w:eastAsia="宋体" w:cs="宋体"/>
                <w:b w:val="0"/>
                <w:bCs/>
                <w:color w:val="auto"/>
                <w:sz w:val="21"/>
                <w:szCs w:val="21"/>
                <w:highlight w:val="none"/>
                <w:lang w:val="en-US" w:eastAsia="zh-CN"/>
              </w:rPr>
            </w:pPr>
            <w:r>
              <w:rPr>
                <w:rFonts w:hint="eastAsia" w:cs="宋体"/>
                <w:b w:val="0"/>
                <w:bCs/>
                <w:color w:val="auto"/>
                <w:sz w:val="21"/>
                <w:szCs w:val="21"/>
                <w:highlight w:val="none"/>
                <w:lang w:val="en-US" w:eastAsia="zh-CN"/>
              </w:rPr>
              <w:t>不</w:t>
            </w:r>
            <w:r>
              <w:rPr>
                <w:rFonts w:hint="eastAsia" w:ascii="宋体" w:hAnsi="宋体" w:eastAsia="宋体" w:cs="宋体"/>
                <w:b w:val="0"/>
                <w:bCs/>
                <w:color w:val="auto"/>
                <w:sz w:val="21"/>
                <w:szCs w:val="21"/>
                <w:highlight w:val="none"/>
                <w:lang w:val="en-US" w:eastAsia="zh-CN"/>
              </w:rPr>
              <w:t>含税</w:t>
            </w:r>
            <w:r>
              <w:rPr>
                <w:rFonts w:hint="eastAsia" w:cs="宋体"/>
                <w:b w:val="0"/>
                <w:bCs/>
                <w:color w:val="auto"/>
                <w:sz w:val="21"/>
                <w:szCs w:val="21"/>
                <w:highlight w:val="none"/>
                <w:lang w:val="en-US" w:eastAsia="zh-CN"/>
              </w:rPr>
              <w:t>报价</w:t>
            </w:r>
            <w:r>
              <w:rPr>
                <w:rFonts w:hint="default" w:ascii="宋体" w:hAnsi="宋体" w:eastAsia="宋体" w:cs="宋体"/>
                <w:b w:val="0"/>
                <w:bCs/>
                <w:color w:val="auto"/>
                <w:sz w:val="21"/>
                <w:szCs w:val="21"/>
                <w:highlight w:val="none"/>
                <w:lang w:val="en-US" w:eastAsia="en-US"/>
              </w:rPr>
              <w:t>：</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r>
              <w:rPr>
                <w:rFonts w:hint="eastAsia"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大写：</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p>
          <w:p w14:paraId="739AA417">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0" w:leftChars="0" w:right="0" w:hanging="630" w:hangingChars="3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含税</w:t>
            </w:r>
            <w:r>
              <w:rPr>
                <w:rFonts w:hint="eastAsia" w:cs="宋体"/>
                <w:b w:val="0"/>
                <w:bCs/>
                <w:color w:val="auto"/>
                <w:sz w:val="21"/>
                <w:szCs w:val="21"/>
                <w:highlight w:val="none"/>
                <w:lang w:val="en-US" w:eastAsia="zh-CN"/>
              </w:rPr>
              <w:t>报价</w:t>
            </w:r>
            <w:r>
              <w:rPr>
                <w:rFonts w:hint="default" w:ascii="宋体" w:hAnsi="宋体" w:eastAsia="宋体" w:cs="宋体"/>
                <w:b w:val="0"/>
                <w:bCs/>
                <w:color w:val="auto"/>
                <w:sz w:val="21"/>
                <w:szCs w:val="21"/>
                <w:highlight w:val="none"/>
                <w:lang w:val="en-US" w:eastAsia="en-US"/>
              </w:rPr>
              <w:t>：</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元，大写：</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p>
          <w:p w14:paraId="7D541573">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left"/>
              <w:textAlignment w:val="auto"/>
              <w:rPr>
                <w:rFonts w:hint="eastAsia" w:cs="宋体"/>
                <w:b w:val="0"/>
                <w:bCs/>
                <w:color w:val="auto"/>
                <w:sz w:val="21"/>
                <w:szCs w:val="21"/>
                <w:highlight w:val="none"/>
                <w:u w:val="none"/>
                <w:lang w:val="en-US" w:eastAsia="zh-CN"/>
              </w:rPr>
            </w:pPr>
            <w:r>
              <w:rPr>
                <w:rFonts w:hint="eastAsia" w:ascii="宋体" w:hAnsi="宋体" w:eastAsia="宋体" w:cs="宋体"/>
                <w:b w:val="0"/>
                <w:bCs/>
                <w:color w:val="auto"/>
                <w:sz w:val="21"/>
                <w:szCs w:val="21"/>
                <w:highlight w:val="none"/>
                <w:lang w:val="en-US" w:eastAsia="zh-CN"/>
              </w:rPr>
              <w:t>增值税</w:t>
            </w:r>
            <w:r>
              <w:rPr>
                <w:rFonts w:hint="eastAsia" w:cs="宋体"/>
                <w:b w:val="0"/>
                <w:bCs/>
                <w:color w:val="auto"/>
                <w:sz w:val="21"/>
                <w:szCs w:val="21"/>
                <w:highlight w:val="none"/>
                <w:lang w:val="en-US" w:eastAsia="zh-CN"/>
              </w:rPr>
              <w:t>专票</w:t>
            </w:r>
            <w:r>
              <w:rPr>
                <w:rFonts w:hint="eastAsia" w:ascii="宋体" w:hAnsi="宋体" w:eastAsia="宋体" w:cs="宋体"/>
                <w:b w:val="0"/>
                <w:bCs/>
                <w:color w:val="auto"/>
                <w:sz w:val="21"/>
                <w:szCs w:val="21"/>
                <w:highlight w:val="none"/>
                <w:lang w:val="en-US" w:eastAsia="zh-CN"/>
              </w:rPr>
              <w:t>税率：</w:t>
            </w:r>
            <w:r>
              <w:rPr>
                <w:rFonts w:hint="eastAsia" w:cs="宋体"/>
                <w:b w:val="0"/>
                <w:bCs/>
                <w:color w:val="auto"/>
                <w:sz w:val="21"/>
                <w:szCs w:val="21"/>
                <w:highlight w:val="none"/>
                <w:u w:val="single"/>
                <w:lang w:val="en-US" w:eastAsia="zh-CN"/>
              </w:rPr>
              <w:t xml:space="preserve">   </w:t>
            </w:r>
            <w:r>
              <w:rPr>
                <w:rFonts w:hint="eastAsia" w:cs="宋体"/>
                <w:b w:val="0"/>
                <w:bCs/>
                <w:color w:val="auto"/>
                <w:sz w:val="21"/>
                <w:szCs w:val="21"/>
                <w:highlight w:val="none"/>
                <w:u w:val="none"/>
                <w:lang w:val="en-US" w:eastAsia="zh-CN"/>
              </w:rPr>
              <w:t>%</w:t>
            </w:r>
          </w:p>
          <w:p w14:paraId="2AEC41B2">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2" w:leftChars="0" w:right="0" w:hanging="632" w:hangingChars="300"/>
              <w:jc w:val="left"/>
              <w:textAlignment w:val="auto"/>
              <w:rPr>
                <w:rFonts w:hint="default" w:cs="宋体"/>
                <w:b/>
                <w:bCs w:val="0"/>
                <w:color w:val="auto"/>
                <w:sz w:val="21"/>
                <w:szCs w:val="21"/>
                <w:highlight w:val="none"/>
                <w:lang w:val="en-US" w:eastAsia="zh-CN"/>
              </w:rPr>
            </w:pPr>
            <w:r>
              <w:rPr>
                <w:rFonts w:hint="eastAsia" w:cs="宋体"/>
                <w:b/>
                <w:bCs w:val="0"/>
                <w:color w:val="auto"/>
                <w:sz w:val="21"/>
                <w:szCs w:val="21"/>
                <w:highlight w:val="none"/>
                <w:lang w:val="en-US" w:eastAsia="zh-CN"/>
              </w:rPr>
              <w:t>2.保温棉</w:t>
            </w:r>
          </w:p>
          <w:p w14:paraId="46726E0A">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0" w:leftChars="0" w:right="0" w:hanging="630" w:hangingChars="300"/>
              <w:jc w:val="left"/>
              <w:textAlignment w:val="auto"/>
              <w:rPr>
                <w:rFonts w:hint="eastAsia" w:ascii="宋体" w:hAnsi="宋体" w:eastAsia="宋体" w:cs="宋体"/>
                <w:b w:val="0"/>
                <w:bCs/>
                <w:color w:val="auto"/>
                <w:sz w:val="21"/>
                <w:szCs w:val="21"/>
                <w:highlight w:val="none"/>
                <w:lang w:val="en-US" w:eastAsia="zh-CN"/>
              </w:rPr>
            </w:pPr>
            <w:r>
              <w:rPr>
                <w:rFonts w:hint="eastAsia" w:cs="宋体"/>
                <w:b w:val="0"/>
                <w:bCs/>
                <w:color w:val="auto"/>
                <w:sz w:val="21"/>
                <w:szCs w:val="21"/>
                <w:highlight w:val="none"/>
                <w:lang w:val="en-US" w:eastAsia="zh-CN"/>
              </w:rPr>
              <w:t>不</w:t>
            </w:r>
            <w:r>
              <w:rPr>
                <w:rFonts w:hint="eastAsia" w:ascii="宋体" w:hAnsi="宋体" w:eastAsia="宋体" w:cs="宋体"/>
                <w:b w:val="0"/>
                <w:bCs/>
                <w:color w:val="auto"/>
                <w:sz w:val="21"/>
                <w:szCs w:val="21"/>
                <w:highlight w:val="none"/>
                <w:lang w:val="en-US" w:eastAsia="zh-CN"/>
              </w:rPr>
              <w:t>含税</w:t>
            </w:r>
            <w:r>
              <w:rPr>
                <w:rFonts w:hint="eastAsia" w:cs="宋体"/>
                <w:b w:val="0"/>
                <w:bCs/>
                <w:color w:val="auto"/>
                <w:sz w:val="21"/>
                <w:szCs w:val="21"/>
                <w:highlight w:val="none"/>
                <w:lang w:val="en-US" w:eastAsia="zh-CN"/>
              </w:rPr>
              <w:t>报价</w:t>
            </w:r>
            <w:r>
              <w:rPr>
                <w:rFonts w:hint="default" w:ascii="宋体" w:hAnsi="宋体" w:eastAsia="宋体" w:cs="宋体"/>
                <w:b w:val="0"/>
                <w:bCs/>
                <w:color w:val="auto"/>
                <w:sz w:val="21"/>
                <w:szCs w:val="21"/>
                <w:highlight w:val="none"/>
                <w:lang w:val="en-US" w:eastAsia="en-US"/>
              </w:rPr>
              <w:t>：</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r>
              <w:rPr>
                <w:rFonts w:hint="eastAsia"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大写：</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p>
          <w:p w14:paraId="15B06F9A">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0" w:leftChars="0" w:right="0" w:hanging="630" w:hangingChars="3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含税</w:t>
            </w:r>
            <w:r>
              <w:rPr>
                <w:rFonts w:hint="eastAsia" w:cs="宋体"/>
                <w:b w:val="0"/>
                <w:bCs/>
                <w:color w:val="auto"/>
                <w:sz w:val="21"/>
                <w:szCs w:val="21"/>
                <w:highlight w:val="none"/>
                <w:lang w:val="en-US" w:eastAsia="zh-CN"/>
              </w:rPr>
              <w:t>报价</w:t>
            </w:r>
            <w:r>
              <w:rPr>
                <w:rFonts w:hint="default" w:ascii="宋体" w:hAnsi="宋体" w:eastAsia="宋体" w:cs="宋体"/>
                <w:b w:val="0"/>
                <w:bCs/>
                <w:color w:val="auto"/>
                <w:sz w:val="21"/>
                <w:szCs w:val="21"/>
                <w:highlight w:val="none"/>
                <w:lang w:val="en-US" w:eastAsia="en-US"/>
              </w:rPr>
              <w:t>：</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元，大写：</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p>
          <w:p w14:paraId="1DCAE1E4">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left"/>
              <w:textAlignment w:val="auto"/>
              <w:rPr>
                <w:rFonts w:hint="eastAsia" w:cs="宋体"/>
                <w:b w:val="0"/>
                <w:bCs/>
                <w:color w:val="auto"/>
                <w:sz w:val="21"/>
                <w:szCs w:val="21"/>
                <w:highlight w:val="none"/>
                <w:u w:val="none"/>
                <w:lang w:val="en-US" w:eastAsia="zh-CN"/>
              </w:rPr>
            </w:pPr>
            <w:r>
              <w:rPr>
                <w:rFonts w:hint="eastAsia" w:ascii="宋体" w:hAnsi="宋体" w:eastAsia="宋体" w:cs="宋体"/>
                <w:b w:val="0"/>
                <w:bCs/>
                <w:color w:val="auto"/>
                <w:sz w:val="21"/>
                <w:szCs w:val="21"/>
                <w:highlight w:val="none"/>
                <w:lang w:val="en-US" w:eastAsia="zh-CN"/>
              </w:rPr>
              <w:t>增值税</w:t>
            </w:r>
            <w:r>
              <w:rPr>
                <w:rFonts w:hint="eastAsia" w:cs="宋体"/>
                <w:b w:val="0"/>
                <w:bCs/>
                <w:color w:val="auto"/>
                <w:sz w:val="21"/>
                <w:szCs w:val="21"/>
                <w:highlight w:val="none"/>
                <w:lang w:val="en-US" w:eastAsia="zh-CN"/>
              </w:rPr>
              <w:t>专票</w:t>
            </w:r>
            <w:r>
              <w:rPr>
                <w:rFonts w:hint="eastAsia" w:ascii="宋体" w:hAnsi="宋体" w:eastAsia="宋体" w:cs="宋体"/>
                <w:b w:val="0"/>
                <w:bCs/>
                <w:color w:val="auto"/>
                <w:sz w:val="21"/>
                <w:szCs w:val="21"/>
                <w:highlight w:val="none"/>
                <w:lang w:val="en-US" w:eastAsia="zh-CN"/>
              </w:rPr>
              <w:t>税率：</w:t>
            </w:r>
            <w:r>
              <w:rPr>
                <w:rFonts w:hint="eastAsia" w:cs="宋体"/>
                <w:b w:val="0"/>
                <w:bCs/>
                <w:color w:val="auto"/>
                <w:sz w:val="21"/>
                <w:szCs w:val="21"/>
                <w:highlight w:val="none"/>
                <w:u w:val="single"/>
                <w:lang w:val="en-US" w:eastAsia="zh-CN"/>
              </w:rPr>
              <w:t xml:space="preserve">   </w:t>
            </w:r>
            <w:r>
              <w:rPr>
                <w:rFonts w:hint="eastAsia" w:cs="宋体"/>
                <w:b w:val="0"/>
                <w:bCs/>
                <w:color w:val="auto"/>
                <w:sz w:val="21"/>
                <w:szCs w:val="21"/>
                <w:highlight w:val="none"/>
                <w:u w:val="none"/>
                <w:lang w:val="en-US" w:eastAsia="zh-CN"/>
              </w:rPr>
              <w:t>%</w:t>
            </w:r>
          </w:p>
          <w:p w14:paraId="5FEBA121">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2" w:leftChars="0" w:right="0" w:hanging="632" w:hangingChars="300"/>
              <w:jc w:val="left"/>
              <w:textAlignment w:val="auto"/>
              <w:rPr>
                <w:rFonts w:hint="default" w:cs="宋体"/>
                <w:b/>
                <w:bCs w:val="0"/>
                <w:color w:val="auto"/>
                <w:sz w:val="21"/>
                <w:szCs w:val="21"/>
                <w:highlight w:val="none"/>
                <w:lang w:val="en-US" w:eastAsia="zh-CN"/>
              </w:rPr>
            </w:pPr>
            <w:r>
              <w:rPr>
                <w:rFonts w:hint="eastAsia" w:cs="宋体"/>
                <w:b/>
                <w:bCs w:val="0"/>
                <w:color w:val="auto"/>
                <w:sz w:val="21"/>
                <w:szCs w:val="21"/>
                <w:highlight w:val="none"/>
                <w:lang w:val="en-US" w:eastAsia="zh-CN"/>
              </w:rPr>
              <w:t>3.保温膜</w:t>
            </w:r>
          </w:p>
          <w:p w14:paraId="3F34112A">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0" w:leftChars="0" w:right="0" w:hanging="630" w:hangingChars="300"/>
              <w:jc w:val="left"/>
              <w:textAlignment w:val="auto"/>
              <w:rPr>
                <w:rFonts w:hint="eastAsia" w:ascii="宋体" w:hAnsi="宋体" w:eastAsia="宋体" w:cs="宋体"/>
                <w:b w:val="0"/>
                <w:bCs/>
                <w:color w:val="auto"/>
                <w:sz w:val="21"/>
                <w:szCs w:val="21"/>
                <w:highlight w:val="none"/>
                <w:lang w:val="en-US" w:eastAsia="zh-CN"/>
              </w:rPr>
            </w:pPr>
            <w:r>
              <w:rPr>
                <w:rFonts w:hint="eastAsia" w:cs="宋体"/>
                <w:b w:val="0"/>
                <w:bCs/>
                <w:color w:val="auto"/>
                <w:sz w:val="21"/>
                <w:szCs w:val="21"/>
                <w:highlight w:val="none"/>
                <w:lang w:val="en-US" w:eastAsia="zh-CN"/>
              </w:rPr>
              <w:t>不</w:t>
            </w:r>
            <w:r>
              <w:rPr>
                <w:rFonts w:hint="eastAsia" w:ascii="宋体" w:hAnsi="宋体" w:eastAsia="宋体" w:cs="宋体"/>
                <w:b w:val="0"/>
                <w:bCs/>
                <w:color w:val="auto"/>
                <w:sz w:val="21"/>
                <w:szCs w:val="21"/>
                <w:highlight w:val="none"/>
                <w:lang w:val="en-US" w:eastAsia="zh-CN"/>
              </w:rPr>
              <w:t>含税</w:t>
            </w:r>
            <w:r>
              <w:rPr>
                <w:rFonts w:hint="eastAsia" w:cs="宋体"/>
                <w:b w:val="0"/>
                <w:bCs/>
                <w:color w:val="auto"/>
                <w:sz w:val="21"/>
                <w:szCs w:val="21"/>
                <w:highlight w:val="none"/>
                <w:lang w:val="en-US" w:eastAsia="zh-CN"/>
              </w:rPr>
              <w:t>报价</w:t>
            </w:r>
            <w:r>
              <w:rPr>
                <w:rFonts w:hint="default" w:ascii="宋体" w:hAnsi="宋体" w:eastAsia="宋体" w:cs="宋体"/>
                <w:b w:val="0"/>
                <w:bCs/>
                <w:color w:val="auto"/>
                <w:sz w:val="21"/>
                <w:szCs w:val="21"/>
                <w:highlight w:val="none"/>
                <w:lang w:val="en-US" w:eastAsia="en-US"/>
              </w:rPr>
              <w:t>：</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r>
              <w:rPr>
                <w:rFonts w:hint="eastAsia"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大写：</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p>
          <w:p w14:paraId="0B6A7312">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0" w:leftChars="0" w:right="0" w:hanging="630" w:hangingChars="3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含税</w:t>
            </w:r>
            <w:r>
              <w:rPr>
                <w:rFonts w:hint="eastAsia" w:cs="宋体"/>
                <w:b w:val="0"/>
                <w:bCs/>
                <w:color w:val="auto"/>
                <w:sz w:val="21"/>
                <w:szCs w:val="21"/>
                <w:highlight w:val="none"/>
                <w:lang w:val="en-US" w:eastAsia="zh-CN"/>
              </w:rPr>
              <w:t>报价</w:t>
            </w:r>
            <w:r>
              <w:rPr>
                <w:rFonts w:hint="default" w:ascii="宋体" w:hAnsi="宋体" w:eastAsia="宋体" w:cs="宋体"/>
                <w:b w:val="0"/>
                <w:bCs/>
                <w:color w:val="auto"/>
                <w:sz w:val="21"/>
                <w:szCs w:val="21"/>
                <w:highlight w:val="none"/>
                <w:lang w:val="en-US" w:eastAsia="en-US"/>
              </w:rPr>
              <w:t>：</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元，大写：</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p>
          <w:p w14:paraId="59339521">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left"/>
              <w:textAlignment w:val="auto"/>
              <w:rPr>
                <w:rFonts w:hint="default" w:cs="宋体"/>
                <w:b w:val="0"/>
                <w:bCs/>
                <w:color w:val="auto"/>
                <w:sz w:val="21"/>
                <w:szCs w:val="21"/>
                <w:highlight w:val="none"/>
                <w:u w:val="none"/>
                <w:lang w:val="en-US" w:eastAsia="zh-CN"/>
              </w:rPr>
            </w:pPr>
            <w:r>
              <w:rPr>
                <w:rFonts w:hint="eastAsia" w:ascii="宋体" w:hAnsi="宋体" w:eastAsia="宋体" w:cs="宋体"/>
                <w:b w:val="0"/>
                <w:bCs/>
                <w:color w:val="auto"/>
                <w:sz w:val="21"/>
                <w:szCs w:val="21"/>
                <w:highlight w:val="none"/>
                <w:lang w:val="en-US" w:eastAsia="zh-CN"/>
              </w:rPr>
              <w:t>增值税</w:t>
            </w:r>
            <w:r>
              <w:rPr>
                <w:rFonts w:hint="eastAsia" w:cs="宋体"/>
                <w:b w:val="0"/>
                <w:bCs/>
                <w:color w:val="auto"/>
                <w:sz w:val="21"/>
                <w:szCs w:val="21"/>
                <w:highlight w:val="none"/>
                <w:lang w:val="en-US" w:eastAsia="zh-CN"/>
              </w:rPr>
              <w:t>专票</w:t>
            </w:r>
            <w:r>
              <w:rPr>
                <w:rFonts w:hint="eastAsia" w:ascii="宋体" w:hAnsi="宋体" w:eastAsia="宋体" w:cs="宋体"/>
                <w:b w:val="0"/>
                <w:bCs/>
                <w:color w:val="auto"/>
                <w:sz w:val="21"/>
                <w:szCs w:val="21"/>
                <w:highlight w:val="none"/>
                <w:lang w:val="en-US" w:eastAsia="zh-CN"/>
              </w:rPr>
              <w:t>税率：</w:t>
            </w:r>
            <w:r>
              <w:rPr>
                <w:rFonts w:hint="eastAsia" w:cs="宋体"/>
                <w:b w:val="0"/>
                <w:bCs/>
                <w:color w:val="auto"/>
                <w:sz w:val="21"/>
                <w:szCs w:val="21"/>
                <w:highlight w:val="none"/>
                <w:u w:val="single"/>
                <w:lang w:val="en-US" w:eastAsia="zh-CN"/>
              </w:rPr>
              <w:t xml:space="preserve">   </w:t>
            </w:r>
            <w:r>
              <w:rPr>
                <w:rFonts w:hint="eastAsia" w:cs="宋体"/>
                <w:b w:val="0"/>
                <w:bCs/>
                <w:color w:val="auto"/>
                <w:sz w:val="21"/>
                <w:szCs w:val="21"/>
                <w:highlight w:val="none"/>
                <w:u w:val="none"/>
                <w:lang w:val="en-US" w:eastAsia="zh-CN"/>
              </w:rPr>
              <w:t>%</w:t>
            </w:r>
          </w:p>
        </w:tc>
      </w:tr>
      <w:tr w14:paraId="51DBC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2305" w:type="dxa"/>
            <w:vAlign w:val="center"/>
          </w:tcPr>
          <w:p w14:paraId="4B110880">
            <w:pPr>
              <w:autoSpaceDE w:val="0"/>
              <w:autoSpaceDN w:val="0"/>
              <w:spacing w:before="124" w:line="360" w:lineRule="auto"/>
              <w:ind w:left="528" w:right="521"/>
              <w:jc w:val="left"/>
              <w:rPr>
                <w:rFonts w:ascii="宋体" w:hAnsi="宋体" w:eastAsia="宋体" w:cs="宋体"/>
                <w:b/>
                <w:kern w:val="0"/>
                <w:szCs w:val="21"/>
                <w:highlight w:val="none"/>
                <w:lang w:eastAsia="en-US"/>
              </w:rPr>
            </w:pPr>
            <w:r>
              <w:rPr>
                <w:rFonts w:ascii="宋体" w:hAnsi="宋体" w:eastAsia="宋体" w:cs="宋体"/>
                <w:b/>
                <w:kern w:val="0"/>
                <w:szCs w:val="21"/>
                <w:highlight w:val="none"/>
                <w:lang w:eastAsia="en-US"/>
              </w:rPr>
              <w:t>其他</w:t>
            </w:r>
          </w:p>
        </w:tc>
        <w:tc>
          <w:tcPr>
            <w:tcW w:w="6220" w:type="dxa"/>
            <w:vAlign w:val="center"/>
          </w:tcPr>
          <w:p w14:paraId="78560F3D">
            <w:pPr>
              <w:autoSpaceDE w:val="0"/>
              <w:autoSpaceDN w:val="0"/>
              <w:spacing w:line="360" w:lineRule="auto"/>
              <w:jc w:val="left"/>
              <w:rPr>
                <w:rFonts w:ascii="宋体" w:hAnsi="宋体" w:eastAsia="宋体" w:cs="宋体"/>
                <w:kern w:val="0"/>
                <w:szCs w:val="21"/>
                <w:highlight w:val="none"/>
                <w:lang w:eastAsia="en-US"/>
              </w:rPr>
            </w:pPr>
            <w:r>
              <w:rPr>
                <w:rFonts w:hint="eastAsia" w:ascii="宋体" w:hAnsi="宋体" w:eastAsia="宋体"/>
                <w:b/>
                <w:i/>
                <w:sz w:val="24"/>
                <w:highlight w:val="none"/>
              </w:rPr>
              <w:t>（此处可补充</w:t>
            </w:r>
            <w:r>
              <w:rPr>
                <w:rFonts w:hint="eastAsia" w:ascii="宋体" w:hAnsi="宋体" w:eastAsia="宋体"/>
                <w:b/>
                <w:i/>
                <w:sz w:val="24"/>
                <w:highlight w:val="none"/>
                <w:lang w:val="en-US" w:eastAsia="zh-CN"/>
              </w:rPr>
              <w:t>谈判</w:t>
            </w:r>
            <w:r>
              <w:rPr>
                <w:rFonts w:hint="eastAsia" w:ascii="宋体" w:hAnsi="宋体" w:eastAsia="宋体"/>
                <w:b/>
                <w:i/>
                <w:sz w:val="24"/>
                <w:highlight w:val="none"/>
              </w:rPr>
              <w:t>小组根据与供应商</w:t>
            </w:r>
            <w:r>
              <w:rPr>
                <w:rFonts w:hint="eastAsia" w:ascii="宋体" w:hAnsi="宋体" w:eastAsia="宋体"/>
                <w:b/>
                <w:i/>
                <w:sz w:val="24"/>
                <w:highlight w:val="none"/>
                <w:lang w:val="en-US" w:eastAsia="zh-CN"/>
              </w:rPr>
              <w:t>谈判</w:t>
            </w:r>
            <w:r>
              <w:rPr>
                <w:rFonts w:hint="eastAsia" w:ascii="宋体" w:hAnsi="宋体" w:eastAsia="宋体"/>
                <w:b/>
                <w:i/>
                <w:sz w:val="24"/>
                <w:highlight w:val="none"/>
              </w:rPr>
              <w:t>情况变动的</w:t>
            </w:r>
            <w:r>
              <w:rPr>
                <w:rFonts w:hint="eastAsia" w:ascii="宋体" w:hAnsi="宋体" w:eastAsia="宋体"/>
                <w:b/>
                <w:i/>
                <w:sz w:val="24"/>
                <w:highlight w:val="none"/>
                <w:lang w:val="en-US" w:eastAsia="zh-CN"/>
              </w:rPr>
              <w:t>谈判</w:t>
            </w:r>
            <w:r>
              <w:rPr>
                <w:rFonts w:hint="eastAsia" w:ascii="宋体" w:hAnsi="宋体" w:eastAsia="宋体"/>
                <w:b/>
                <w:i/>
                <w:sz w:val="24"/>
                <w:highlight w:val="none"/>
              </w:rPr>
              <w:t>文件的内容，包括采购需求中的技术、服务要求以及合同草案条款。）</w:t>
            </w:r>
          </w:p>
        </w:tc>
      </w:tr>
    </w:tbl>
    <w:p w14:paraId="07FEE5D4">
      <w:pPr>
        <w:autoSpaceDE w:val="0"/>
        <w:autoSpaceDN w:val="0"/>
        <w:spacing w:before="79" w:line="360" w:lineRule="auto"/>
        <w:jc w:val="left"/>
        <w:rPr>
          <w:rFonts w:hint="eastAsia" w:ascii="宋体" w:hAnsi="宋体" w:eastAsia="宋体" w:cs="宋体"/>
          <w:kern w:val="0"/>
          <w:szCs w:val="21"/>
          <w:highlight w:val="none"/>
          <w:lang w:val="zh-CN" w:bidi="zh-CN"/>
        </w:rPr>
      </w:pPr>
    </w:p>
    <w:p w14:paraId="0D8A6C3E">
      <w:pPr>
        <w:autoSpaceDE w:val="0"/>
        <w:autoSpaceDN w:val="0"/>
        <w:spacing w:before="79" w:line="360" w:lineRule="auto"/>
        <w:jc w:val="left"/>
        <w:rPr>
          <w:rFonts w:hint="eastAsia" w:ascii="宋体" w:hAnsi="宋体" w:eastAsia="宋体" w:cs="宋体"/>
          <w:kern w:val="0"/>
          <w:szCs w:val="21"/>
          <w:highlight w:val="none"/>
          <w:lang w:val="zh-CN" w:bidi="zh-CN"/>
        </w:rPr>
      </w:pPr>
    </w:p>
    <w:p w14:paraId="2FBE4563">
      <w:pPr>
        <w:autoSpaceDE w:val="0"/>
        <w:autoSpaceDN w:val="0"/>
        <w:spacing w:before="79" w:line="360" w:lineRule="auto"/>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供应商</w:t>
      </w:r>
      <w:r>
        <w:rPr>
          <w:rFonts w:hint="eastAsia" w:ascii="宋体" w:hAnsi="宋体" w:eastAsia="宋体" w:cs="Times New Roman"/>
          <w:szCs w:val="21"/>
          <w:highlight w:val="none"/>
          <w:lang w:val="en-US" w:eastAsia="zh-CN"/>
        </w:rPr>
        <w:t>盖章</w:t>
      </w:r>
      <w:r>
        <w:rPr>
          <w:rFonts w:ascii="宋体" w:hAnsi="宋体" w:eastAsia="宋体" w:cs="宋体"/>
          <w:kern w:val="0"/>
          <w:szCs w:val="21"/>
          <w:highlight w:val="none"/>
          <w:lang w:val="zh-CN" w:bidi="zh-CN"/>
        </w:rPr>
        <w:t>：</w:t>
      </w:r>
    </w:p>
    <w:p w14:paraId="41B20EE6">
      <w:pPr>
        <w:autoSpaceDE w:val="0"/>
        <w:autoSpaceDN w:val="0"/>
        <w:spacing w:line="360" w:lineRule="auto"/>
        <w:jc w:val="left"/>
        <w:rPr>
          <w:rFonts w:ascii="宋体" w:hAnsi="宋体" w:eastAsia="宋体" w:cs="宋体"/>
          <w:kern w:val="0"/>
          <w:szCs w:val="21"/>
          <w:highlight w:val="none"/>
          <w:lang w:bidi="zh-CN"/>
        </w:rPr>
      </w:pPr>
      <w:r>
        <w:rPr>
          <w:rFonts w:hint="eastAsia" w:ascii="宋体" w:hAnsi="宋体" w:eastAsia="宋体" w:cs="宋体"/>
          <w:kern w:val="0"/>
          <w:szCs w:val="21"/>
          <w:highlight w:val="none"/>
          <w:lang w:bidi="zh-CN"/>
        </w:rPr>
        <w:t>法定代表人或其委托代理人：（签字或盖章）</w:t>
      </w:r>
    </w:p>
    <w:p w14:paraId="02CABDAD">
      <w:pPr>
        <w:autoSpaceDE w:val="0"/>
        <w:autoSpaceDN w:val="0"/>
        <w:spacing w:before="1" w:line="360" w:lineRule="auto"/>
        <w:jc w:val="left"/>
        <w:rPr>
          <w:rFonts w:ascii="宋体" w:hAnsi="宋体" w:eastAsia="宋体" w:cs="宋体"/>
          <w:kern w:val="0"/>
          <w:szCs w:val="21"/>
          <w:highlight w:val="none"/>
          <w:lang w:val="zh-CN" w:bidi="zh-CN"/>
        </w:rPr>
      </w:pPr>
    </w:p>
    <w:p w14:paraId="541C44AF">
      <w:pPr>
        <w:autoSpaceDE w:val="0"/>
        <w:autoSpaceDN w:val="0"/>
        <w:spacing w:before="1" w:line="360" w:lineRule="auto"/>
        <w:jc w:val="left"/>
        <w:rPr>
          <w:rFonts w:ascii="宋体" w:hAnsi="宋体" w:eastAsia="宋体" w:cs="宋体"/>
          <w:kern w:val="0"/>
          <w:szCs w:val="21"/>
          <w:highlight w:val="none"/>
          <w:lang w:val="zh-CN" w:bidi="zh-CN"/>
        </w:rPr>
      </w:pPr>
    </w:p>
    <w:p w14:paraId="283D2BB0">
      <w:pPr>
        <w:rPr>
          <w:rFonts w:ascii="Times New Roman" w:hAnsi="Times New Roman" w:eastAsia="宋体" w:cs="Times New Roman"/>
          <w:b/>
          <w:szCs w:val="21"/>
          <w:highlight w:val="none"/>
        </w:rPr>
      </w:pPr>
      <w:r>
        <w:rPr>
          <w:rFonts w:ascii="Times New Roman" w:hAnsi="Times New Roman" w:eastAsia="宋体" w:cs="Times New Roman"/>
          <w:b/>
          <w:szCs w:val="21"/>
          <w:highlight w:val="none"/>
        </w:rPr>
        <w:t>备注：</w:t>
      </w:r>
    </w:p>
    <w:p w14:paraId="2E3ABE8C">
      <w:pPr>
        <w:numPr>
          <w:ilvl w:val="0"/>
          <w:numId w:val="0"/>
        </w:numPr>
        <w:rPr>
          <w:rFonts w:ascii="Times New Roman" w:hAnsi="Times New Roman" w:eastAsia="宋体" w:cs="Times New Roman"/>
          <w:color w:val="auto"/>
          <w:szCs w:val="21"/>
          <w:highlight w:val="none"/>
        </w:rPr>
      </w:pPr>
      <w:r>
        <w:rPr>
          <w:rFonts w:ascii="Times New Roman" w:hAnsi="Times New Roman" w:eastAsia="宋体" w:cs="Times New Roman"/>
          <w:color w:val="auto"/>
          <w:kern w:val="2"/>
          <w:sz w:val="21"/>
          <w:szCs w:val="21"/>
          <w:highlight w:val="none"/>
          <w:lang w:val="en-US" w:eastAsia="zh-CN" w:bidi="ar-SA"/>
        </w:rPr>
        <w:t>1.</w:t>
      </w:r>
      <w:r>
        <w:rPr>
          <w:rFonts w:ascii="Times New Roman" w:hAnsi="Times New Roman" w:eastAsia="宋体" w:cs="Times New Roman"/>
          <w:color w:val="auto"/>
          <w:szCs w:val="21"/>
          <w:highlight w:val="none"/>
        </w:rPr>
        <w:t>表中报价即为优惠后报价，</w:t>
      </w:r>
      <w:r>
        <w:rPr>
          <w:rFonts w:hint="eastAsia" w:ascii="Times New Roman" w:hAnsi="Times New Roman" w:eastAsia="宋体" w:cs="Times New Roman"/>
          <w:color w:val="auto"/>
          <w:szCs w:val="21"/>
          <w:highlight w:val="none"/>
          <w:lang w:val="en-US" w:eastAsia="zh-CN"/>
        </w:rPr>
        <w:t>其中</w:t>
      </w:r>
      <w:r>
        <w:rPr>
          <w:rFonts w:hint="eastAsia" w:ascii="Times New Roman" w:hAnsi="Times New Roman" w:eastAsia="宋体" w:cs="Times New Roman"/>
          <w:b/>
          <w:bCs/>
          <w:color w:val="auto"/>
          <w:szCs w:val="21"/>
          <w:highlight w:val="none"/>
          <w:lang w:val="en-US" w:eastAsia="zh-CN"/>
        </w:rPr>
        <w:t>不含税报价</w:t>
      </w:r>
      <w:r>
        <w:rPr>
          <w:rFonts w:ascii="Times New Roman" w:hAnsi="Times New Roman" w:eastAsia="宋体" w:cs="Times New Roman"/>
          <w:color w:val="auto"/>
          <w:szCs w:val="21"/>
          <w:highlight w:val="none"/>
        </w:rPr>
        <w:t>作为评审及定标依据。任何有选择或有条件的报价，或者表中某一包别填写多个报价，均为无效报价。</w:t>
      </w:r>
    </w:p>
    <w:p w14:paraId="6E0806A4">
      <w:pPr>
        <w:numPr>
          <w:ilvl w:val="0"/>
          <w:numId w:val="0"/>
        </w:numPr>
        <w:ind w:left="0" w:leftChars="0" w:firstLine="0" w:firstLineChars="0"/>
        <w:rPr>
          <w:rFonts w:ascii="Times New Roman" w:hAnsi="Times New Roman" w:eastAsia="宋体" w:cs="Times New Roman"/>
          <w:color w:val="auto"/>
          <w:szCs w:val="21"/>
          <w:highlight w:val="none"/>
        </w:rPr>
      </w:pPr>
      <w:r>
        <w:rPr>
          <w:rFonts w:ascii="Times New Roman" w:hAnsi="Times New Roman" w:eastAsia="宋体" w:cs="Times New Roman"/>
          <w:color w:val="auto"/>
          <w:kern w:val="2"/>
          <w:sz w:val="21"/>
          <w:szCs w:val="21"/>
          <w:highlight w:val="none"/>
          <w:lang w:val="en-US" w:eastAsia="zh-CN" w:bidi="ar-SA"/>
        </w:rPr>
        <w:t>2.</w:t>
      </w:r>
      <w:r>
        <w:rPr>
          <w:rFonts w:hint="eastAsia"/>
          <w:highlight w:val="none"/>
          <w:lang w:val="en-US" w:eastAsia="zh-CN"/>
        </w:rPr>
        <w:t>报价金额包含小数的，</w:t>
      </w:r>
      <w:r>
        <w:rPr>
          <w:rFonts w:hint="eastAsia"/>
          <w:b/>
          <w:bCs/>
          <w:highlight w:val="none"/>
          <w:lang w:val="en-US" w:eastAsia="zh-CN"/>
        </w:rPr>
        <w:t>保留两位小数</w:t>
      </w:r>
      <w:r>
        <w:rPr>
          <w:rFonts w:hint="eastAsia"/>
          <w:highlight w:val="none"/>
          <w:lang w:val="en-US" w:eastAsia="zh-CN"/>
        </w:rPr>
        <w:t>，</w:t>
      </w:r>
      <w:r>
        <w:rPr>
          <w:rFonts w:hint="eastAsia"/>
          <w:b/>
          <w:bCs/>
          <w:highlight w:val="none"/>
          <w:lang w:val="en-US" w:eastAsia="zh-CN"/>
        </w:rPr>
        <w:t>含税报价=不含税报价*（1+税率）</w:t>
      </w:r>
      <w:r>
        <w:rPr>
          <w:rFonts w:hint="eastAsia"/>
          <w:highlight w:val="none"/>
          <w:lang w:val="en-US" w:eastAsia="zh-CN"/>
        </w:rPr>
        <w:t>。</w:t>
      </w:r>
    </w:p>
    <w:p w14:paraId="331A977C">
      <w:pPr>
        <w:numPr>
          <w:ilvl w:val="0"/>
          <w:numId w:val="0"/>
        </w:numPr>
        <w:ind w:left="0" w:leftChars="0" w:firstLine="0" w:firstLineChars="0"/>
        <w:rPr>
          <w:rFonts w:hint="eastAsia" w:ascii="Times New Roman" w:hAnsi="Times New Roman" w:eastAsia="宋体" w:cs="Times New Roman"/>
          <w:szCs w:val="21"/>
          <w:highlight w:val="none"/>
          <w:lang w:val="en-US" w:eastAsia="zh-CN"/>
        </w:rPr>
      </w:pPr>
      <w:r>
        <w:rPr>
          <w:rFonts w:ascii="Times New Roman" w:hAnsi="Times New Roman" w:eastAsia="宋体" w:cs="Times New Roman"/>
          <w:color w:val="auto"/>
          <w:kern w:val="2"/>
          <w:sz w:val="21"/>
          <w:szCs w:val="21"/>
          <w:highlight w:val="none"/>
          <w:lang w:val="en-US" w:eastAsia="zh-CN" w:bidi="ar-SA"/>
        </w:rPr>
        <w:t>3.</w:t>
      </w:r>
      <w:r>
        <w:rPr>
          <w:rFonts w:hint="eastAsia" w:ascii="Times New Roman" w:hAnsi="Times New Roman" w:eastAsia="宋体" w:cs="Times New Roman"/>
          <w:szCs w:val="21"/>
          <w:highlight w:val="none"/>
          <w:lang w:val="en-US" w:eastAsia="zh-CN"/>
        </w:rPr>
        <w:t>具体报价清单明细详见附件一：阜阳建投物业服务有限公司2026年度园林绿化涂白剂、保温棉、保温膜采购报价清单。</w:t>
      </w:r>
    </w:p>
    <w:p w14:paraId="32D709C1">
      <w:pPr>
        <w:autoSpaceDE w:val="0"/>
        <w:autoSpaceDN w:val="0"/>
        <w:spacing w:before="132" w:line="360" w:lineRule="auto"/>
        <w:ind w:right="1505"/>
        <w:jc w:val="both"/>
        <w:outlineLvl w:val="0"/>
        <w:rPr>
          <w:rFonts w:ascii="宋体" w:hAnsi="宋体" w:eastAsia="宋体" w:cs="宋体"/>
          <w:b/>
          <w:bCs/>
          <w:kern w:val="0"/>
          <w:szCs w:val="21"/>
          <w:highlight w:val="none"/>
          <w:lang w:val="zh-CN" w:bidi="zh-CN"/>
        </w:rPr>
        <w:sectPr>
          <w:headerReference r:id="rId7" w:type="default"/>
          <w:footerReference r:id="rId8" w:type="default"/>
          <w:pgSz w:w="11910" w:h="16840"/>
          <w:pgMar w:top="1400" w:right="1440" w:bottom="1220" w:left="1580" w:header="877" w:footer="1033" w:gutter="0"/>
          <w:pgNumType w:fmt="decimal"/>
          <w:cols w:space="720" w:num="1"/>
        </w:sectPr>
      </w:pPr>
      <w:bookmarkStart w:id="70" w:name="_Toc22921"/>
      <w:bookmarkStart w:id="71" w:name="_Toc1258"/>
      <w:bookmarkStart w:id="72" w:name="_Toc2686"/>
    </w:p>
    <w:p w14:paraId="50FC2B53">
      <w:pPr>
        <w:numPr>
          <w:ilvl w:val="0"/>
          <w:numId w:val="1"/>
        </w:numPr>
        <w:autoSpaceDE w:val="0"/>
        <w:autoSpaceDN w:val="0"/>
        <w:spacing w:before="132"/>
        <w:ind w:right="1503"/>
        <w:jc w:val="center"/>
        <w:outlineLvl w:val="0"/>
        <w:rPr>
          <w:rFonts w:hint="eastAsia" w:ascii="宋体" w:hAnsi="宋体" w:eastAsia="宋体" w:cs="宋体"/>
          <w:b/>
          <w:bCs/>
          <w:kern w:val="0"/>
          <w:szCs w:val="21"/>
          <w:highlight w:val="none"/>
          <w:lang w:val="zh-CN" w:bidi="zh-CN"/>
        </w:rPr>
      </w:pPr>
      <w:bookmarkStart w:id="73" w:name="_Toc6471"/>
      <w:bookmarkStart w:id="74" w:name="_Toc17736"/>
      <w:bookmarkStart w:id="75" w:name="_Toc12772"/>
      <w:r>
        <w:rPr>
          <w:rFonts w:hint="eastAsia" w:ascii="宋体" w:hAnsi="宋体" w:eastAsia="宋体" w:cs="宋体"/>
          <w:b/>
          <w:bCs/>
          <w:kern w:val="0"/>
          <w:szCs w:val="21"/>
          <w:highlight w:val="none"/>
          <w:lang w:val="zh-CN" w:bidi="zh-CN"/>
        </w:rPr>
        <w:t>最后承诺报价表</w:t>
      </w:r>
      <w:bookmarkEnd w:id="73"/>
      <w:bookmarkEnd w:id="74"/>
    </w:p>
    <w:p w14:paraId="445B4AF8">
      <w:pPr>
        <w:pStyle w:val="8"/>
        <w:spacing w:before="9" w:line="360" w:lineRule="auto"/>
        <w:rPr>
          <w:b/>
          <w:sz w:val="21"/>
          <w:szCs w:val="21"/>
          <w:highlight w:val="none"/>
        </w:rPr>
      </w:pPr>
    </w:p>
    <w:p w14:paraId="6370128D">
      <w:pPr>
        <w:spacing w:line="360" w:lineRule="auto"/>
        <w:jc w:val="center"/>
        <w:rPr>
          <w:b/>
          <w:sz w:val="21"/>
          <w:szCs w:val="21"/>
          <w:highlight w:val="none"/>
        </w:rPr>
      </w:pPr>
      <w:r>
        <w:rPr>
          <w:b/>
          <w:sz w:val="21"/>
          <w:szCs w:val="21"/>
          <w:highlight w:val="none"/>
        </w:rPr>
        <w:t>（第</w:t>
      </w:r>
      <w:r>
        <w:rPr>
          <w:b/>
          <w:sz w:val="21"/>
          <w:szCs w:val="21"/>
          <w:highlight w:val="none"/>
          <w:u w:val="single"/>
        </w:rPr>
        <w:t xml:space="preserve"> </w:t>
      </w:r>
      <w:r>
        <w:rPr>
          <w:b/>
          <w:sz w:val="21"/>
          <w:szCs w:val="21"/>
          <w:highlight w:val="none"/>
          <w:u w:val="single"/>
        </w:rPr>
        <w:tab/>
      </w:r>
      <w:r>
        <w:rPr>
          <w:b/>
          <w:sz w:val="21"/>
          <w:szCs w:val="21"/>
          <w:highlight w:val="none"/>
        </w:rPr>
        <w:t>次报价书）</w:t>
      </w:r>
    </w:p>
    <w:p w14:paraId="2F754291">
      <w:pPr>
        <w:spacing w:line="360" w:lineRule="auto"/>
        <w:ind w:left="29" w:leftChars="14" w:firstLine="211" w:firstLineChars="100"/>
        <w:rPr>
          <w:rFonts w:hint="default" w:eastAsiaTheme="minorEastAsia"/>
          <w:b/>
          <w:sz w:val="21"/>
          <w:szCs w:val="21"/>
          <w:highlight w:val="none"/>
          <w:u w:val="single"/>
          <w:lang w:val="en-US" w:eastAsia="zh-CN"/>
        </w:rPr>
      </w:pPr>
      <w:r>
        <w:rPr>
          <w:b/>
          <w:sz w:val="21"/>
          <w:szCs w:val="21"/>
          <w:highlight w:val="none"/>
        </w:rPr>
        <w:t>项目名称：</w:t>
      </w:r>
      <w:r>
        <w:rPr>
          <w:rFonts w:hint="eastAsia"/>
          <w:b/>
          <w:sz w:val="21"/>
          <w:szCs w:val="21"/>
          <w:highlight w:val="none"/>
          <w:u w:val="single"/>
          <w:lang w:val="en-US" w:eastAsia="zh-CN"/>
        </w:rPr>
        <w:t xml:space="preserve">                        </w:t>
      </w:r>
    </w:p>
    <w:p w14:paraId="6A85148F">
      <w:pPr>
        <w:spacing w:line="360" w:lineRule="auto"/>
        <w:ind w:left="29" w:leftChars="14" w:firstLine="211" w:firstLineChars="100"/>
        <w:rPr>
          <w:b/>
          <w:sz w:val="21"/>
          <w:szCs w:val="21"/>
          <w:highlight w:val="none"/>
        </w:rPr>
      </w:pPr>
      <w:r>
        <w:rPr>
          <w:b/>
          <w:sz w:val="21"/>
          <w:szCs w:val="21"/>
          <w:highlight w:val="none"/>
        </w:rPr>
        <w:t>项目编号：</w:t>
      </w:r>
      <w:r>
        <w:rPr>
          <w:rFonts w:hint="eastAsia"/>
          <w:b/>
          <w:sz w:val="21"/>
          <w:szCs w:val="21"/>
          <w:highlight w:val="none"/>
          <w:u w:val="single"/>
          <w:lang w:val="en-US" w:eastAsia="zh-CN"/>
        </w:rPr>
        <w:t xml:space="preserve">                        </w:t>
      </w:r>
    </w:p>
    <w:p w14:paraId="07A67341">
      <w:pPr>
        <w:autoSpaceDE w:val="0"/>
        <w:autoSpaceDN w:val="0"/>
        <w:spacing w:before="4"/>
        <w:jc w:val="left"/>
        <w:rPr>
          <w:rFonts w:ascii="宋体" w:hAnsi="宋体" w:eastAsia="宋体" w:cs="宋体"/>
          <w:b/>
          <w:kern w:val="0"/>
          <w:sz w:val="6"/>
          <w:szCs w:val="24"/>
          <w:highlight w:val="none"/>
          <w:lang w:val="zh-CN" w:bidi="zh-CN"/>
        </w:rPr>
      </w:pPr>
    </w:p>
    <w:tbl>
      <w:tblPr>
        <w:tblStyle w:val="22"/>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5"/>
        <w:gridCol w:w="6220"/>
      </w:tblGrid>
      <w:tr w14:paraId="21385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trPr>
        <w:tc>
          <w:tcPr>
            <w:tcW w:w="2305" w:type="dxa"/>
            <w:vAlign w:val="center"/>
          </w:tcPr>
          <w:p w14:paraId="37358C08">
            <w:pPr>
              <w:autoSpaceDE w:val="0"/>
              <w:autoSpaceDN w:val="0"/>
              <w:spacing w:before="160" w:line="360" w:lineRule="auto"/>
              <w:ind w:left="528" w:right="521"/>
              <w:jc w:val="left"/>
              <w:rPr>
                <w:rFonts w:hint="default" w:ascii="宋体" w:hAnsi="宋体" w:eastAsia="宋体" w:cs="宋体"/>
                <w:b/>
                <w:kern w:val="0"/>
                <w:szCs w:val="21"/>
                <w:highlight w:val="none"/>
                <w:lang w:val="en-US" w:eastAsia="zh-CN"/>
              </w:rPr>
            </w:pPr>
            <w:r>
              <w:rPr>
                <w:rFonts w:hint="eastAsia" w:ascii="宋体" w:hAnsi="宋体" w:eastAsia="宋体" w:cs="宋体"/>
                <w:b/>
                <w:kern w:val="0"/>
                <w:szCs w:val="21"/>
                <w:highlight w:val="none"/>
              </w:rPr>
              <w:t>供应商</w:t>
            </w:r>
            <w:r>
              <w:rPr>
                <w:rFonts w:ascii="宋体" w:hAnsi="宋体" w:eastAsia="宋体" w:cs="宋体"/>
                <w:b/>
                <w:kern w:val="0"/>
                <w:szCs w:val="21"/>
                <w:highlight w:val="none"/>
                <w:lang w:eastAsia="en-US"/>
              </w:rPr>
              <w:t>全称</w:t>
            </w:r>
          </w:p>
        </w:tc>
        <w:tc>
          <w:tcPr>
            <w:tcW w:w="6220" w:type="dxa"/>
            <w:vAlign w:val="center"/>
          </w:tcPr>
          <w:p w14:paraId="6B74839E">
            <w:pPr>
              <w:autoSpaceDE w:val="0"/>
              <w:autoSpaceDN w:val="0"/>
              <w:spacing w:before="160" w:line="360" w:lineRule="auto"/>
              <w:ind w:left="2727" w:right="2720"/>
              <w:jc w:val="left"/>
              <w:rPr>
                <w:rFonts w:ascii="宋体" w:hAnsi="宋体" w:eastAsia="宋体" w:cs="宋体"/>
                <w:b/>
                <w:kern w:val="0"/>
                <w:szCs w:val="21"/>
                <w:highlight w:val="none"/>
                <w:lang w:eastAsia="en-US"/>
              </w:rPr>
            </w:pPr>
          </w:p>
        </w:tc>
      </w:tr>
      <w:tr w14:paraId="314A7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2305" w:type="dxa"/>
            <w:vAlign w:val="center"/>
          </w:tcPr>
          <w:p w14:paraId="70606DE1">
            <w:pPr>
              <w:autoSpaceDE w:val="0"/>
              <w:autoSpaceDN w:val="0"/>
              <w:spacing w:before="122" w:line="360" w:lineRule="auto"/>
              <w:ind w:left="528" w:right="521"/>
              <w:jc w:val="left"/>
              <w:rPr>
                <w:rFonts w:hint="default" w:ascii="宋体" w:hAnsi="宋体" w:eastAsia="宋体" w:cs="宋体"/>
                <w:b/>
                <w:kern w:val="0"/>
                <w:szCs w:val="21"/>
                <w:highlight w:val="none"/>
                <w:lang w:val="en-US" w:eastAsia="zh-CN"/>
              </w:rPr>
            </w:pPr>
            <w:r>
              <w:rPr>
                <w:rFonts w:hint="eastAsia" w:ascii="宋体" w:hAnsi="宋体" w:eastAsia="宋体" w:cs="宋体"/>
                <w:b/>
                <w:kern w:val="0"/>
                <w:szCs w:val="21"/>
                <w:highlight w:val="none"/>
                <w:lang w:val="en-US" w:eastAsia="zh-CN"/>
              </w:rPr>
              <w:t>所投包段</w:t>
            </w:r>
          </w:p>
        </w:tc>
        <w:tc>
          <w:tcPr>
            <w:tcW w:w="6220" w:type="dxa"/>
            <w:vAlign w:val="center"/>
          </w:tcPr>
          <w:p w14:paraId="47EBECB1">
            <w:pPr>
              <w:autoSpaceDE w:val="0"/>
              <w:autoSpaceDN w:val="0"/>
              <w:spacing w:line="360" w:lineRule="auto"/>
              <w:jc w:val="left"/>
              <w:rPr>
                <w:rFonts w:hint="default" w:ascii="宋体" w:hAnsi="宋体" w:eastAsia="宋体" w:cs="宋体"/>
                <w:kern w:val="0"/>
                <w:szCs w:val="21"/>
                <w:highlight w:val="none"/>
                <w:lang w:val="en-US" w:eastAsia="en-US"/>
              </w:rPr>
            </w:pPr>
            <w:r>
              <w:rPr>
                <w:rFonts w:hint="default" w:ascii="宋体" w:hAnsi="宋体" w:eastAsia="宋体" w:cs="宋体"/>
                <w:b w:val="0"/>
                <w:bCs/>
                <w:color w:val="auto"/>
                <w:sz w:val="21"/>
                <w:szCs w:val="21"/>
                <w:highlight w:val="none"/>
                <w:lang w:val="en-US" w:eastAsia="en-US" w:bidi="zh-CN"/>
              </w:rPr>
              <w:t>□包1：</w:t>
            </w:r>
            <w:r>
              <w:rPr>
                <w:rFonts w:hint="eastAsia" w:ascii="宋体" w:hAnsi="宋体" w:eastAsia="宋体" w:cs="宋体"/>
                <w:b w:val="0"/>
                <w:bCs/>
                <w:color w:val="auto"/>
                <w:sz w:val="21"/>
                <w:szCs w:val="21"/>
                <w:highlight w:val="none"/>
                <w:lang w:val="en-US" w:eastAsia="en-US" w:bidi="zh-CN"/>
              </w:rPr>
              <w:t>涂白剂</w:t>
            </w:r>
            <w:r>
              <w:rPr>
                <w:rFonts w:hint="eastAsia" w:cs="宋体"/>
                <w:b w:val="0"/>
                <w:bCs/>
                <w:color w:val="auto"/>
                <w:sz w:val="21"/>
                <w:szCs w:val="21"/>
                <w:highlight w:val="none"/>
                <w:lang w:val="en-US" w:eastAsia="en-US" w:bidi="zh-CN"/>
              </w:rPr>
              <w:t xml:space="preserve">  </w:t>
            </w:r>
            <w:r>
              <w:rPr>
                <w:rFonts w:hint="default" w:ascii="宋体" w:hAnsi="宋体" w:eastAsia="宋体" w:cs="宋体"/>
                <w:b w:val="0"/>
                <w:bCs/>
                <w:color w:val="auto"/>
                <w:sz w:val="21"/>
                <w:szCs w:val="21"/>
                <w:highlight w:val="none"/>
                <w:lang w:val="en-US" w:eastAsia="en-US" w:bidi="zh-CN"/>
              </w:rPr>
              <w:t>□包2：</w:t>
            </w:r>
            <w:r>
              <w:rPr>
                <w:rFonts w:hint="eastAsia" w:ascii="宋体" w:hAnsi="宋体" w:eastAsia="宋体" w:cs="宋体"/>
                <w:b w:val="0"/>
                <w:bCs/>
                <w:color w:val="auto"/>
                <w:sz w:val="21"/>
                <w:szCs w:val="21"/>
                <w:highlight w:val="none"/>
                <w:lang w:val="en-US" w:eastAsia="en-US" w:bidi="zh-CN"/>
              </w:rPr>
              <w:t>保温棉、保温膜</w:t>
            </w:r>
          </w:p>
        </w:tc>
      </w:tr>
      <w:tr w14:paraId="17908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0" w:hRule="atLeast"/>
        </w:trPr>
        <w:tc>
          <w:tcPr>
            <w:tcW w:w="2305" w:type="dxa"/>
            <w:vAlign w:val="center"/>
          </w:tcPr>
          <w:p w14:paraId="2200BD6A">
            <w:pPr>
              <w:autoSpaceDE w:val="0"/>
              <w:autoSpaceDN w:val="0"/>
              <w:spacing w:before="124" w:line="360" w:lineRule="auto"/>
              <w:ind w:left="528" w:right="521"/>
              <w:jc w:val="left"/>
              <w:rPr>
                <w:rFonts w:hint="eastAsia" w:ascii="宋体" w:hAnsi="宋体" w:eastAsia="宋体" w:cs="宋体"/>
                <w:b/>
                <w:kern w:val="0"/>
                <w:szCs w:val="21"/>
                <w:highlight w:val="none"/>
                <w:lang w:eastAsia="zh-CN"/>
              </w:rPr>
            </w:pPr>
            <w:r>
              <w:rPr>
                <w:rFonts w:ascii="宋体" w:hAnsi="宋体" w:eastAsia="宋体" w:cs="宋体"/>
                <w:b/>
                <w:kern w:val="0"/>
                <w:szCs w:val="21"/>
                <w:highlight w:val="none"/>
                <w:lang w:eastAsia="en-US"/>
              </w:rPr>
              <w:t>报价</w:t>
            </w:r>
          </w:p>
        </w:tc>
        <w:tc>
          <w:tcPr>
            <w:tcW w:w="6220" w:type="dxa"/>
            <w:vAlign w:val="center"/>
          </w:tcPr>
          <w:p w14:paraId="3A9E7A5A">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2" w:leftChars="0" w:right="0" w:hanging="632" w:hangingChars="300"/>
              <w:jc w:val="left"/>
              <w:textAlignment w:val="auto"/>
              <w:rPr>
                <w:rFonts w:hint="eastAsia" w:cs="宋体"/>
                <w:b/>
                <w:bCs w:val="0"/>
                <w:color w:val="auto"/>
                <w:sz w:val="21"/>
                <w:szCs w:val="21"/>
                <w:highlight w:val="none"/>
                <w:lang w:val="en-US" w:eastAsia="zh-CN"/>
              </w:rPr>
            </w:pPr>
            <w:r>
              <w:rPr>
                <w:rFonts w:hint="eastAsia" w:cs="宋体"/>
                <w:b/>
                <w:bCs w:val="0"/>
                <w:color w:val="auto"/>
                <w:sz w:val="21"/>
                <w:szCs w:val="21"/>
                <w:highlight w:val="none"/>
                <w:lang w:val="en-US" w:eastAsia="zh-CN"/>
              </w:rPr>
              <w:t>包1：</w:t>
            </w:r>
          </w:p>
          <w:p w14:paraId="3D935956">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0" w:leftChars="0" w:right="0" w:hanging="630" w:hangingChars="300"/>
              <w:jc w:val="left"/>
              <w:textAlignment w:val="auto"/>
              <w:rPr>
                <w:rFonts w:hint="eastAsia" w:ascii="宋体" w:hAnsi="宋体" w:eastAsia="宋体" w:cs="宋体"/>
                <w:b w:val="0"/>
                <w:bCs/>
                <w:color w:val="auto"/>
                <w:sz w:val="21"/>
                <w:szCs w:val="21"/>
                <w:highlight w:val="none"/>
                <w:lang w:val="en-US" w:eastAsia="zh-CN"/>
              </w:rPr>
            </w:pPr>
            <w:r>
              <w:rPr>
                <w:rFonts w:hint="eastAsia" w:cs="宋体"/>
                <w:b w:val="0"/>
                <w:bCs/>
                <w:color w:val="auto"/>
                <w:sz w:val="21"/>
                <w:szCs w:val="21"/>
                <w:highlight w:val="none"/>
                <w:lang w:val="en-US" w:eastAsia="zh-CN"/>
              </w:rPr>
              <w:t>不</w:t>
            </w:r>
            <w:r>
              <w:rPr>
                <w:rFonts w:hint="eastAsia" w:ascii="宋体" w:hAnsi="宋体" w:eastAsia="宋体" w:cs="宋体"/>
                <w:b w:val="0"/>
                <w:bCs/>
                <w:color w:val="auto"/>
                <w:sz w:val="21"/>
                <w:szCs w:val="21"/>
                <w:highlight w:val="none"/>
                <w:lang w:val="en-US" w:eastAsia="zh-CN"/>
              </w:rPr>
              <w:t>含税</w:t>
            </w:r>
            <w:r>
              <w:rPr>
                <w:rFonts w:hint="eastAsia" w:cs="宋体"/>
                <w:b w:val="0"/>
                <w:bCs/>
                <w:color w:val="auto"/>
                <w:sz w:val="21"/>
                <w:szCs w:val="21"/>
                <w:highlight w:val="none"/>
                <w:lang w:val="en-US" w:eastAsia="zh-CN"/>
              </w:rPr>
              <w:t>报价</w:t>
            </w:r>
            <w:r>
              <w:rPr>
                <w:rFonts w:hint="default" w:ascii="宋体" w:hAnsi="宋体" w:eastAsia="宋体" w:cs="宋体"/>
                <w:b w:val="0"/>
                <w:bCs/>
                <w:color w:val="auto"/>
                <w:sz w:val="21"/>
                <w:szCs w:val="21"/>
                <w:highlight w:val="none"/>
                <w:lang w:val="en-US" w:eastAsia="en-US"/>
              </w:rPr>
              <w:t>：</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r>
              <w:rPr>
                <w:rFonts w:hint="eastAsia"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大写：</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p>
          <w:p w14:paraId="56B55A3F">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0" w:leftChars="0" w:right="0" w:hanging="630" w:hangingChars="3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含税</w:t>
            </w:r>
            <w:r>
              <w:rPr>
                <w:rFonts w:hint="eastAsia" w:cs="宋体"/>
                <w:b w:val="0"/>
                <w:bCs/>
                <w:color w:val="auto"/>
                <w:sz w:val="21"/>
                <w:szCs w:val="21"/>
                <w:highlight w:val="none"/>
                <w:lang w:val="en-US" w:eastAsia="zh-CN"/>
              </w:rPr>
              <w:t>报价</w:t>
            </w:r>
            <w:r>
              <w:rPr>
                <w:rFonts w:hint="default" w:ascii="宋体" w:hAnsi="宋体" w:eastAsia="宋体" w:cs="宋体"/>
                <w:b w:val="0"/>
                <w:bCs/>
                <w:color w:val="auto"/>
                <w:sz w:val="21"/>
                <w:szCs w:val="21"/>
                <w:highlight w:val="none"/>
                <w:lang w:val="en-US" w:eastAsia="en-US"/>
              </w:rPr>
              <w:t>：</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元，大写：</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p>
          <w:p w14:paraId="430E42E7">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left"/>
              <w:textAlignment w:val="auto"/>
              <w:rPr>
                <w:rFonts w:hint="eastAsia" w:cs="宋体"/>
                <w:b w:val="0"/>
                <w:bCs/>
                <w:color w:val="auto"/>
                <w:sz w:val="21"/>
                <w:szCs w:val="21"/>
                <w:highlight w:val="none"/>
                <w:u w:val="none"/>
                <w:lang w:val="en-US" w:eastAsia="zh-CN"/>
              </w:rPr>
            </w:pPr>
            <w:r>
              <w:rPr>
                <w:rFonts w:hint="eastAsia" w:ascii="宋体" w:hAnsi="宋体" w:eastAsia="宋体" w:cs="宋体"/>
                <w:b w:val="0"/>
                <w:bCs/>
                <w:color w:val="auto"/>
                <w:sz w:val="21"/>
                <w:szCs w:val="21"/>
                <w:highlight w:val="none"/>
                <w:lang w:val="en-US" w:eastAsia="zh-CN"/>
              </w:rPr>
              <w:t>增值税</w:t>
            </w:r>
            <w:r>
              <w:rPr>
                <w:rFonts w:hint="eastAsia" w:cs="宋体"/>
                <w:b w:val="0"/>
                <w:bCs/>
                <w:color w:val="auto"/>
                <w:sz w:val="21"/>
                <w:szCs w:val="21"/>
                <w:highlight w:val="none"/>
                <w:lang w:val="en-US" w:eastAsia="zh-CN"/>
              </w:rPr>
              <w:t>专票</w:t>
            </w:r>
            <w:r>
              <w:rPr>
                <w:rFonts w:hint="eastAsia" w:ascii="宋体" w:hAnsi="宋体" w:eastAsia="宋体" w:cs="宋体"/>
                <w:b w:val="0"/>
                <w:bCs/>
                <w:color w:val="auto"/>
                <w:sz w:val="21"/>
                <w:szCs w:val="21"/>
                <w:highlight w:val="none"/>
                <w:lang w:val="en-US" w:eastAsia="zh-CN"/>
              </w:rPr>
              <w:t>税率：</w:t>
            </w:r>
            <w:r>
              <w:rPr>
                <w:rFonts w:hint="eastAsia" w:cs="宋体"/>
                <w:b w:val="0"/>
                <w:bCs/>
                <w:color w:val="auto"/>
                <w:sz w:val="21"/>
                <w:szCs w:val="21"/>
                <w:highlight w:val="none"/>
                <w:u w:val="single"/>
                <w:lang w:val="en-US" w:eastAsia="zh-CN"/>
              </w:rPr>
              <w:t xml:space="preserve">   </w:t>
            </w:r>
            <w:r>
              <w:rPr>
                <w:rFonts w:hint="eastAsia" w:cs="宋体"/>
                <w:b w:val="0"/>
                <w:bCs/>
                <w:color w:val="auto"/>
                <w:sz w:val="21"/>
                <w:szCs w:val="21"/>
                <w:highlight w:val="none"/>
                <w:u w:val="none"/>
                <w:lang w:val="en-US" w:eastAsia="zh-CN"/>
              </w:rPr>
              <w:t>%</w:t>
            </w:r>
          </w:p>
          <w:p w14:paraId="44AE0B17">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2" w:leftChars="0" w:right="0" w:hanging="632" w:hangingChars="300"/>
              <w:jc w:val="left"/>
              <w:textAlignment w:val="auto"/>
              <w:rPr>
                <w:rFonts w:hint="eastAsia" w:cs="宋体"/>
                <w:b/>
                <w:bCs w:val="0"/>
                <w:color w:val="auto"/>
                <w:sz w:val="21"/>
                <w:szCs w:val="21"/>
                <w:highlight w:val="none"/>
                <w:lang w:val="en-US" w:eastAsia="zh-CN"/>
              </w:rPr>
            </w:pPr>
            <w:r>
              <w:rPr>
                <w:rFonts w:hint="eastAsia" w:cs="宋体"/>
                <w:b/>
                <w:bCs w:val="0"/>
                <w:color w:val="auto"/>
                <w:sz w:val="21"/>
                <w:szCs w:val="21"/>
                <w:highlight w:val="none"/>
                <w:lang w:val="en-US" w:eastAsia="zh-CN"/>
              </w:rPr>
              <w:t>包2：</w:t>
            </w:r>
          </w:p>
          <w:p w14:paraId="29A47494">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2" w:leftChars="0" w:right="0" w:hanging="632" w:hangingChars="300"/>
              <w:jc w:val="left"/>
              <w:textAlignment w:val="auto"/>
              <w:rPr>
                <w:rFonts w:hint="default" w:cs="宋体"/>
                <w:b/>
                <w:bCs w:val="0"/>
                <w:color w:val="auto"/>
                <w:sz w:val="21"/>
                <w:szCs w:val="21"/>
                <w:highlight w:val="none"/>
                <w:lang w:val="en-US" w:eastAsia="zh-CN"/>
              </w:rPr>
            </w:pPr>
            <w:r>
              <w:rPr>
                <w:rFonts w:hint="eastAsia" w:cs="宋体"/>
                <w:b/>
                <w:bCs w:val="0"/>
                <w:color w:val="auto"/>
                <w:sz w:val="21"/>
                <w:szCs w:val="21"/>
                <w:highlight w:val="none"/>
                <w:lang w:val="en-US" w:eastAsia="zh-CN"/>
              </w:rPr>
              <w:t>保温棉</w:t>
            </w:r>
          </w:p>
          <w:p w14:paraId="608B90F8">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0" w:leftChars="0" w:right="0" w:hanging="630" w:hangingChars="300"/>
              <w:jc w:val="left"/>
              <w:textAlignment w:val="auto"/>
              <w:rPr>
                <w:rFonts w:hint="eastAsia" w:ascii="宋体" w:hAnsi="宋体" w:eastAsia="宋体" w:cs="宋体"/>
                <w:b w:val="0"/>
                <w:bCs/>
                <w:color w:val="auto"/>
                <w:sz w:val="21"/>
                <w:szCs w:val="21"/>
                <w:highlight w:val="none"/>
                <w:lang w:val="en-US" w:eastAsia="zh-CN"/>
              </w:rPr>
            </w:pPr>
            <w:r>
              <w:rPr>
                <w:rFonts w:hint="eastAsia" w:cs="宋体"/>
                <w:b w:val="0"/>
                <w:bCs/>
                <w:color w:val="auto"/>
                <w:sz w:val="21"/>
                <w:szCs w:val="21"/>
                <w:highlight w:val="none"/>
                <w:lang w:val="en-US" w:eastAsia="zh-CN"/>
              </w:rPr>
              <w:t>不</w:t>
            </w:r>
            <w:r>
              <w:rPr>
                <w:rFonts w:hint="eastAsia" w:ascii="宋体" w:hAnsi="宋体" w:eastAsia="宋体" w:cs="宋体"/>
                <w:b w:val="0"/>
                <w:bCs/>
                <w:color w:val="auto"/>
                <w:sz w:val="21"/>
                <w:szCs w:val="21"/>
                <w:highlight w:val="none"/>
                <w:lang w:val="en-US" w:eastAsia="zh-CN"/>
              </w:rPr>
              <w:t>含税</w:t>
            </w:r>
            <w:r>
              <w:rPr>
                <w:rFonts w:hint="eastAsia" w:cs="宋体"/>
                <w:b w:val="0"/>
                <w:bCs/>
                <w:color w:val="auto"/>
                <w:sz w:val="21"/>
                <w:szCs w:val="21"/>
                <w:highlight w:val="none"/>
                <w:lang w:val="en-US" w:eastAsia="zh-CN"/>
              </w:rPr>
              <w:t>报价</w:t>
            </w:r>
            <w:r>
              <w:rPr>
                <w:rFonts w:hint="default" w:ascii="宋体" w:hAnsi="宋体" w:eastAsia="宋体" w:cs="宋体"/>
                <w:b w:val="0"/>
                <w:bCs/>
                <w:color w:val="auto"/>
                <w:sz w:val="21"/>
                <w:szCs w:val="21"/>
                <w:highlight w:val="none"/>
                <w:lang w:val="en-US" w:eastAsia="en-US"/>
              </w:rPr>
              <w:t>：</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r>
              <w:rPr>
                <w:rFonts w:hint="eastAsia"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大写：</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p>
          <w:p w14:paraId="2654339C">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0" w:leftChars="0" w:right="0" w:hanging="630" w:hangingChars="3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含税</w:t>
            </w:r>
            <w:r>
              <w:rPr>
                <w:rFonts w:hint="eastAsia" w:cs="宋体"/>
                <w:b w:val="0"/>
                <w:bCs/>
                <w:color w:val="auto"/>
                <w:sz w:val="21"/>
                <w:szCs w:val="21"/>
                <w:highlight w:val="none"/>
                <w:lang w:val="en-US" w:eastAsia="zh-CN"/>
              </w:rPr>
              <w:t>报价</w:t>
            </w:r>
            <w:r>
              <w:rPr>
                <w:rFonts w:hint="default" w:ascii="宋体" w:hAnsi="宋体" w:eastAsia="宋体" w:cs="宋体"/>
                <w:b w:val="0"/>
                <w:bCs/>
                <w:color w:val="auto"/>
                <w:sz w:val="21"/>
                <w:szCs w:val="21"/>
                <w:highlight w:val="none"/>
                <w:lang w:val="en-US" w:eastAsia="en-US"/>
              </w:rPr>
              <w:t>：</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元，大写：</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p>
          <w:p w14:paraId="2A78B84B">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left"/>
              <w:textAlignment w:val="auto"/>
              <w:rPr>
                <w:rFonts w:hint="eastAsia" w:cs="宋体"/>
                <w:b w:val="0"/>
                <w:bCs/>
                <w:color w:val="auto"/>
                <w:sz w:val="21"/>
                <w:szCs w:val="21"/>
                <w:highlight w:val="none"/>
                <w:u w:val="none"/>
                <w:lang w:val="en-US" w:eastAsia="zh-CN"/>
              </w:rPr>
            </w:pPr>
            <w:r>
              <w:rPr>
                <w:rFonts w:hint="eastAsia" w:ascii="宋体" w:hAnsi="宋体" w:eastAsia="宋体" w:cs="宋体"/>
                <w:b w:val="0"/>
                <w:bCs/>
                <w:color w:val="auto"/>
                <w:sz w:val="21"/>
                <w:szCs w:val="21"/>
                <w:highlight w:val="none"/>
                <w:lang w:val="en-US" w:eastAsia="zh-CN"/>
              </w:rPr>
              <w:t>增值税</w:t>
            </w:r>
            <w:r>
              <w:rPr>
                <w:rFonts w:hint="eastAsia" w:cs="宋体"/>
                <w:b w:val="0"/>
                <w:bCs/>
                <w:color w:val="auto"/>
                <w:sz w:val="21"/>
                <w:szCs w:val="21"/>
                <w:highlight w:val="none"/>
                <w:lang w:val="en-US" w:eastAsia="zh-CN"/>
              </w:rPr>
              <w:t>专票</w:t>
            </w:r>
            <w:r>
              <w:rPr>
                <w:rFonts w:hint="eastAsia" w:ascii="宋体" w:hAnsi="宋体" w:eastAsia="宋体" w:cs="宋体"/>
                <w:b w:val="0"/>
                <w:bCs/>
                <w:color w:val="auto"/>
                <w:sz w:val="21"/>
                <w:szCs w:val="21"/>
                <w:highlight w:val="none"/>
                <w:lang w:val="en-US" w:eastAsia="zh-CN"/>
              </w:rPr>
              <w:t>税率：</w:t>
            </w:r>
            <w:r>
              <w:rPr>
                <w:rFonts w:hint="eastAsia" w:cs="宋体"/>
                <w:b w:val="0"/>
                <w:bCs/>
                <w:color w:val="auto"/>
                <w:sz w:val="21"/>
                <w:szCs w:val="21"/>
                <w:highlight w:val="none"/>
                <w:u w:val="single"/>
                <w:lang w:val="en-US" w:eastAsia="zh-CN"/>
              </w:rPr>
              <w:t xml:space="preserve">   </w:t>
            </w:r>
            <w:r>
              <w:rPr>
                <w:rFonts w:hint="eastAsia" w:cs="宋体"/>
                <w:b w:val="0"/>
                <w:bCs/>
                <w:color w:val="auto"/>
                <w:sz w:val="21"/>
                <w:szCs w:val="21"/>
                <w:highlight w:val="none"/>
                <w:u w:val="none"/>
                <w:lang w:val="en-US" w:eastAsia="zh-CN"/>
              </w:rPr>
              <w:t>%</w:t>
            </w:r>
          </w:p>
          <w:p w14:paraId="58341162">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2" w:leftChars="0" w:right="0" w:hanging="632" w:hangingChars="300"/>
              <w:jc w:val="left"/>
              <w:textAlignment w:val="auto"/>
              <w:rPr>
                <w:rFonts w:hint="default" w:cs="宋体"/>
                <w:b/>
                <w:bCs w:val="0"/>
                <w:color w:val="auto"/>
                <w:sz w:val="21"/>
                <w:szCs w:val="21"/>
                <w:highlight w:val="none"/>
                <w:lang w:val="en-US" w:eastAsia="zh-CN"/>
              </w:rPr>
            </w:pPr>
            <w:r>
              <w:rPr>
                <w:rFonts w:hint="eastAsia" w:cs="宋体"/>
                <w:b/>
                <w:bCs w:val="0"/>
                <w:color w:val="auto"/>
                <w:sz w:val="21"/>
                <w:szCs w:val="21"/>
                <w:highlight w:val="none"/>
                <w:lang w:val="en-US" w:eastAsia="zh-CN"/>
              </w:rPr>
              <w:t>保温膜</w:t>
            </w:r>
          </w:p>
          <w:p w14:paraId="4D3ACCF0">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0" w:leftChars="0" w:right="0" w:hanging="630" w:hangingChars="300"/>
              <w:jc w:val="left"/>
              <w:textAlignment w:val="auto"/>
              <w:rPr>
                <w:rFonts w:hint="eastAsia" w:ascii="宋体" w:hAnsi="宋体" w:eastAsia="宋体" w:cs="宋体"/>
                <w:b w:val="0"/>
                <w:bCs/>
                <w:color w:val="auto"/>
                <w:sz w:val="21"/>
                <w:szCs w:val="21"/>
                <w:highlight w:val="none"/>
                <w:lang w:val="en-US" w:eastAsia="zh-CN"/>
              </w:rPr>
            </w:pPr>
            <w:r>
              <w:rPr>
                <w:rFonts w:hint="eastAsia" w:cs="宋体"/>
                <w:b w:val="0"/>
                <w:bCs/>
                <w:color w:val="auto"/>
                <w:sz w:val="21"/>
                <w:szCs w:val="21"/>
                <w:highlight w:val="none"/>
                <w:lang w:val="en-US" w:eastAsia="zh-CN"/>
              </w:rPr>
              <w:t>不</w:t>
            </w:r>
            <w:r>
              <w:rPr>
                <w:rFonts w:hint="eastAsia" w:ascii="宋体" w:hAnsi="宋体" w:eastAsia="宋体" w:cs="宋体"/>
                <w:b w:val="0"/>
                <w:bCs/>
                <w:color w:val="auto"/>
                <w:sz w:val="21"/>
                <w:szCs w:val="21"/>
                <w:highlight w:val="none"/>
                <w:lang w:val="en-US" w:eastAsia="zh-CN"/>
              </w:rPr>
              <w:t>含税</w:t>
            </w:r>
            <w:r>
              <w:rPr>
                <w:rFonts w:hint="eastAsia" w:cs="宋体"/>
                <w:b w:val="0"/>
                <w:bCs/>
                <w:color w:val="auto"/>
                <w:sz w:val="21"/>
                <w:szCs w:val="21"/>
                <w:highlight w:val="none"/>
                <w:lang w:val="en-US" w:eastAsia="zh-CN"/>
              </w:rPr>
              <w:t>报价</w:t>
            </w:r>
            <w:r>
              <w:rPr>
                <w:rFonts w:hint="default" w:ascii="宋体" w:hAnsi="宋体" w:eastAsia="宋体" w:cs="宋体"/>
                <w:b w:val="0"/>
                <w:bCs/>
                <w:color w:val="auto"/>
                <w:sz w:val="21"/>
                <w:szCs w:val="21"/>
                <w:highlight w:val="none"/>
                <w:lang w:val="en-US" w:eastAsia="en-US"/>
              </w:rPr>
              <w:t>：</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r>
              <w:rPr>
                <w:rFonts w:hint="eastAsia"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大写：</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p>
          <w:p w14:paraId="1E7BBADB">
            <w:pPr>
              <w:pStyle w:val="4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630" w:leftChars="0" w:right="0" w:hanging="630" w:hangingChars="30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含税</w:t>
            </w:r>
            <w:r>
              <w:rPr>
                <w:rFonts w:hint="eastAsia" w:cs="宋体"/>
                <w:b w:val="0"/>
                <w:bCs/>
                <w:color w:val="auto"/>
                <w:sz w:val="21"/>
                <w:szCs w:val="21"/>
                <w:highlight w:val="none"/>
                <w:lang w:val="en-US" w:eastAsia="zh-CN"/>
              </w:rPr>
              <w:t>报价</w:t>
            </w:r>
            <w:r>
              <w:rPr>
                <w:rFonts w:hint="default" w:ascii="宋体" w:hAnsi="宋体" w:eastAsia="宋体" w:cs="宋体"/>
                <w:b w:val="0"/>
                <w:bCs/>
                <w:color w:val="auto"/>
                <w:sz w:val="21"/>
                <w:szCs w:val="21"/>
                <w:highlight w:val="none"/>
                <w:lang w:val="en-US" w:eastAsia="en-US"/>
              </w:rPr>
              <w:t>：</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元，大写：</w:t>
            </w:r>
            <w:r>
              <w:rPr>
                <w:rFonts w:hint="eastAsia" w:cs="宋体"/>
                <w:b w:val="0"/>
                <w:bCs/>
                <w:color w:val="auto"/>
                <w:sz w:val="21"/>
                <w:szCs w:val="21"/>
                <w:highlight w:val="none"/>
                <w:u w:val="single"/>
                <w:lang w:val="en-US" w:eastAsia="zh-CN"/>
              </w:rPr>
              <w:t xml:space="preserve">               </w:t>
            </w:r>
            <w:r>
              <w:rPr>
                <w:rFonts w:hint="eastAsia" w:ascii="宋体" w:hAnsi="宋体" w:eastAsia="宋体" w:cs="宋体"/>
                <w:b w:val="0"/>
                <w:bCs/>
                <w:color w:val="auto"/>
                <w:sz w:val="21"/>
                <w:szCs w:val="21"/>
                <w:highlight w:val="none"/>
                <w:lang w:val="en-US" w:eastAsia="zh-CN"/>
              </w:rPr>
              <w:t>元；</w:t>
            </w:r>
          </w:p>
          <w:p w14:paraId="4D50A3A6">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left"/>
              <w:textAlignment w:val="auto"/>
              <w:rPr>
                <w:rFonts w:hint="default" w:cs="宋体"/>
                <w:b w:val="0"/>
                <w:bCs/>
                <w:color w:val="auto"/>
                <w:sz w:val="21"/>
                <w:szCs w:val="21"/>
                <w:highlight w:val="none"/>
                <w:u w:val="none"/>
                <w:lang w:val="en-US" w:eastAsia="zh-CN"/>
              </w:rPr>
            </w:pPr>
            <w:r>
              <w:rPr>
                <w:rFonts w:hint="eastAsia" w:ascii="宋体" w:hAnsi="宋体" w:eastAsia="宋体" w:cs="宋体"/>
                <w:b w:val="0"/>
                <w:bCs/>
                <w:color w:val="auto"/>
                <w:sz w:val="21"/>
                <w:szCs w:val="21"/>
                <w:highlight w:val="none"/>
                <w:lang w:val="en-US" w:eastAsia="zh-CN"/>
              </w:rPr>
              <w:t>增值税</w:t>
            </w:r>
            <w:r>
              <w:rPr>
                <w:rFonts w:hint="eastAsia" w:cs="宋体"/>
                <w:b w:val="0"/>
                <w:bCs/>
                <w:color w:val="auto"/>
                <w:sz w:val="21"/>
                <w:szCs w:val="21"/>
                <w:highlight w:val="none"/>
                <w:lang w:val="en-US" w:eastAsia="zh-CN"/>
              </w:rPr>
              <w:t>专票</w:t>
            </w:r>
            <w:r>
              <w:rPr>
                <w:rFonts w:hint="eastAsia" w:ascii="宋体" w:hAnsi="宋体" w:eastAsia="宋体" w:cs="宋体"/>
                <w:b w:val="0"/>
                <w:bCs/>
                <w:color w:val="auto"/>
                <w:sz w:val="21"/>
                <w:szCs w:val="21"/>
                <w:highlight w:val="none"/>
                <w:lang w:val="en-US" w:eastAsia="zh-CN"/>
              </w:rPr>
              <w:t>税率：</w:t>
            </w:r>
            <w:r>
              <w:rPr>
                <w:rFonts w:hint="eastAsia" w:cs="宋体"/>
                <w:b w:val="0"/>
                <w:bCs/>
                <w:color w:val="auto"/>
                <w:sz w:val="21"/>
                <w:szCs w:val="21"/>
                <w:highlight w:val="none"/>
                <w:u w:val="single"/>
                <w:lang w:val="en-US" w:eastAsia="zh-CN"/>
              </w:rPr>
              <w:t xml:space="preserve">   </w:t>
            </w:r>
            <w:r>
              <w:rPr>
                <w:rFonts w:hint="eastAsia" w:cs="宋体"/>
                <w:b w:val="0"/>
                <w:bCs/>
                <w:color w:val="auto"/>
                <w:sz w:val="21"/>
                <w:szCs w:val="21"/>
                <w:highlight w:val="none"/>
                <w:u w:val="none"/>
                <w:lang w:val="en-US" w:eastAsia="zh-CN"/>
              </w:rPr>
              <w:t>%</w:t>
            </w:r>
          </w:p>
        </w:tc>
      </w:tr>
      <w:tr w14:paraId="6B3AF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2305" w:type="dxa"/>
            <w:vAlign w:val="center"/>
          </w:tcPr>
          <w:p w14:paraId="3EDB18E7">
            <w:pPr>
              <w:autoSpaceDE w:val="0"/>
              <w:autoSpaceDN w:val="0"/>
              <w:spacing w:before="124" w:line="360" w:lineRule="auto"/>
              <w:ind w:left="528" w:right="521"/>
              <w:jc w:val="left"/>
              <w:rPr>
                <w:rFonts w:ascii="宋体" w:hAnsi="宋体" w:eastAsia="宋体" w:cs="宋体"/>
                <w:b/>
                <w:kern w:val="0"/>
                <w:szCs w:val="21"/>
                <w:highlight w:val="none"/>
                <w:lang w:eastAsia="en-US"/>
              </w:rPr>
            </w:pPr>
            <w:r>
              <w:rPr>
                <w:rFonts w:ascii="宋体" w:hAnsi="宋体" w:eastAsia="宋体" w:cs="宋体"/>
                <w:b/>
                <w:kern w:val="0"/>
                <w:szCs w:val="21"/>
                <w:highlight w:val="none"/>
                <w:lang w:eastAsia="en-US"/>
              </w:rPr>
              <w:t>其他</w:t>
            </w:r>
          </w:p>
        </w:tc>
        <w:tc>
          <w:tcPr>
            <w:tcW w:w="6220" w:type="dxa"/>
            <w:vAlign w:val="center"/>
          </w:tcPr>
          <w:p w14:paraId="33A1D7AC">
            <w:pPr>
              <w:autoSpaceDE w:val="0"/>
              <w:autoSpaceDN w:val="0"/>
              <w:spacing w:line="360" w:lineRule="auto"/>
              <w:jc w:val="left"/>
              <w:rPr>
                <w:rFonts w:ascii="宋体" w:hAnsi="宋体" w:eastAsia="宋体" w:cs="宋体"/>
                <w:kern w:val="0"/>
                <w:szCs w:val="21"/>
                <w:highlight w:val="none"/>
                <w:lang w:eastAsia="en-US"/>
              </w:rPr>
            </w:pPr>
            <w:r>
              <w:rPr>
                <w:rFonts w:hint="eastAsia" w:ascii="宋体" w:hAnsi="宋体" w:eastAsia="宋体"/>
                <w:b/>
                <w:i/>
                <w:sz w:val="24"/>
                <w:highlight w:val="none"/>
              </w:rPr>
              <w:t>（此处可补充</w:t>
            </w:r>
            <w:r>
              <w:rPr>
                <w:rFonts w:hint="eastAsia" w:ascii="宋体" w:hAnsi="宋体" w:eastAsia="宋体"/>
                <w:b/>
                <w:i/>
                <w:sz w:val="24"/>
                <w:highlight w:val="none"/>
                <w:lang w:val="en-US" w:eastAsia="zh-CN"/>
              </w:rPr>
              <w:t>谈判</w:t>
            </w:r>
            <w:r>
              <w:rPr>
                <w:rFonts w:hint="eastAsia" w:ascii="宋体" w:hAnsi="宋体" w:eastAsia="宋体"/>
                <w:b/>
                <w:i/>
                <w:sz w:val="24"/>
                <w:highlight w:val="none"/>
              </w:rPr>
              <w:t>小组根据与供应商</w:t>
            </w:r>
            <w:r>
              <w:rPr>
                <w:rFonts w:hint="eastAsia" w:ascii="宋体" w:hAnsi="宋体" w:eastAsia="宋体"/>
                <w:b/>
                <w:i/>
                <w:sz w:val="24"/>
                <w:highlight w:val="none"/>
                <w:lang w:val="en-US" w:eastAsia="zh-CN"/>
              </w:rPr>
              <w:t>谈判</w:t>
            </w:r>
            <w:r>
              <w:rPr>
                <w:rFonts w:hint="eastAsia" w:ascii="宋体" w:hAnsi="宋体" w:eastAsia="宋体"/>
                <w:b/>
                <w:i/>
                <w:sz w:val="24"/>
                <w:highlight w:val="none"/>
              </w:rPr>
              <w:t>情况变动的</w:t>
            </w:r>
            <w:r>
              <w:rPr>
                <w:rFonts w:hint="eastAsia" w:ascii="宋体" w:hAnsi="宋体" w:eastAsia="宋体"/>
                <w:b/>
                <w:i/>
                <w:sz w:val="24"/>
                <w:highlight w:val="none"/>
                <w:lang w:val="en-US" w:eastAsia="zh-CN"/>
              </w:rPr>
              <w:t>谈判</w:t>
            </w:r>
            <w:r>
              <w:rPr>
                <w:rFonts w:hint="eastAsia" w:ascii="宋体" w:hAnsi="宋体" w:eastAsia="宋体"/>
                <w:b/>
                <w:i/>
                <w:sz w:val="24"/>
                <w:highlight w:val="none"/>
              </w:rPr>
              <w:t>文件的内容，包括采购需求中的技术、服务要求以及合同草案条款。）</w:t>
            </w:r>
          </w:p>
        </w:tc>
      </w:tr>
    </w:tbl>
    <w:p w14:paraId="52D8F177">
      <w:pPr>
        <w:autoSpaceDE w:val="0"/>
        <w:autoSpaceDN w:val="0"/>
        <w:spacing w:before="79" w:line="360" w:lineRule="auto"/>
        <w:jc w:val="left"/>
        <w:rPr>
          <w:rFonts w:hint="eastAsia" w:ascii="宋体" w:hAnsi="宋体" w:eastAsia="宋体" w:cs="宋体"/>
          <w:kern w:val="0"/>
          <w:szCs w:val="21"/>
          <w:highlight w:val="none"/>
          <w:lang w:val="zh-CN" w:bidi="zh-CN"/>
        </w:rPr>
      </w:pPr>
    </w:p>
    <w:p w14:paraId="26D7EDD7">
      <w:pPr>
        <w:autoSpaceDE w:val="0"/>
        <w:autoSpaceDN w:val="0"/>
        <w:spacing w:before="79" w:line="360" w:lineRule="auto"/>
        <w:jc w:val="left"/>
        <w:rPr>
          <w:rFonts w:hint="eastAsia" w:ascii="宋体" w:hAnsi="宋体" w:eastAsia="宋体" w:cs="宋体"/>
          <w:kern w:val="0"/>
          <w:szCs w:val="21"/>
          <w:highlight w:val="none"/>
          <w:lang w:val="zh-CN" w:bidi="zh-CN"/>
        </w:rPr>
      </w:pPr>
    </w:p>
    <w:p w14:paraId="3EA75918">
      <w:pPr>
        <w:autoSpaceDE w:val="0"/>
        <w:autoSpaceDN w:val="0"/>
        <w:spacing w:before="79" w:line="360" w:lineRule="auto"/>
        <w:jc w:val="left"/>
        <w:rPr>
          <w:rFonts w:ascii="宋体" w:hAnsi="宋体" w:eastAsia="宋体" w:cs="宋体"/>
          <w:kern w:val="0"/>
          <w:szCs w:val="21"/>
          <w:highlight w:val="none"/>
          <w:lang w:val="zh-CN" w:bidi="zh-CN"/>
        </w:rPr>
      </w:pPr>
      <w:r>
        <w:rPr>
          <w:rFonts w:hint="eastAsia" w:ascii="宋体" w:hAnsi="宋体" w:eastAsia="宋体" w:cs="宋体"/>
          <w:kern w:val="0"/>
          <w:szCs w:val="21"/>
          <w:highlight w:val="none"/>
          <w:lang w:val="zh-CN" w:bidi="zh-CN"/>
        </w:rPr>
        <w:t>供应商</w:t>
      </w:r>
      <w:r>
        <w:rPr>
          <w:rFonts w:hint="eastAsia" w:ascii="宋体" w:hAnsi="宋体" w:eastAsia="宋体" w:cs="Times New Roman"/>
          <w:szCs w:val="21"/>
          <w:highlight w:val="none"/>
          <w:lang w:val="en-US" w:eastAsia="zh-CN"/>
        </w:rPr>
        <w:t>盖章</w:t>
      </w:r>
      <w:r>
        <w:rPr>
          <w:rFonts w:ascii="宋体" w:hAnsi="宋体" w:eastAsia="宋体" w:cs="宋体"/>
          <w:kern w:val="0"/>
          <w:szCs w:val="21"/>
          <w:highlight w:val="none"/>
          <w:lang w:val="zh-CN" w:bidi="zh-CN"/>
        </w:rPr>
        <w:t>：</w:t>
      </w:r>
    </w:p>
    <w:p w14:paraId="244F0537">
      <w:pPr>
        <w:autoSpaceDE w:val="0"/>
        <w:autoSpaceDN w:val="0"/>
        <w:spacing w:line="360" w:lineRule="auto"/>
        <w:jc w:val="left"/>
        <w:rPr>
          <w:rFonts w:ascii="宋体" w:hAnsi="宋体" w:eastAsia="宋体" w:cs="宋体"/>
          <w:kern w:val="0"/>
          <w:szCs w:val="21"/>
          <w:highlight w:val="none"/>
          <w:lang w:bidi="zh-CN"/>
        </w:rPr>
      </w:pPr>
      <w:r>
        <w:rPr>
          <w:rFonts w:hint="eastAsia" w:ascii="宋体" w:hAnsi="宋体" w:eastAsia="宋体" w:cs="宋体"/>
          <w:kern w:val="0"/>
          <w:szCs w:val="21"/>
          <w:highlight w:val="none"/>
          <w:lang w:bidi="zh-CN"/>
        </w:rPr>
        <w:t>法定代表人或其委托代理人：（签字或盖章）</w:t>
      </w:r>
    </w:p>
    <w:p w14:paraId="129897FA">
      <w:pPr>
        <w:autoSpaceDE w:val="0"/>
        <w:autoSpaceDN w:val="0"/>
        <w:spacing w:before="1" w:line="360" w:lineRule="auto"/>
        <w:jc w:val="left"/>
        <w:rPr>
          <w:rFonts w:ascii="宋体" w:hAnsi="宋体" w:eastAsia="宋体" w:cs="宋体"/>
          <w:kern w:val="0"/>
          <w:szCs w:val="21"/>
          <w:highlight w:val="none"/>
          <w:lang w:val="zh-CN" w:bidi="zh-CN"/>
        </w:rPr>
      </w:pPr>
    </w:p>
    <w:p w14:paraId="6ECB514F">
      <w:pPr>
        <w:autoSpaceDE w:val="0"/>
        <w:autoSpaceDN w:val="0"/>
        <w:spacing w:before="1" w:line="360" w:lineRule="auto"/>
        <w:jc w:val="left"/>
        <w:rPr>
          <w:rFonts w:ascii="宋体" w:hAnsi="宋体" w:eastAsia="宋体" w:cs="宋体"/>
          <w:kern w:val="0"/>
          <w:szCs w:val="21"/>
          <w:highlight w:val="none"/>
          <w:lang w:val="zh-CN" w:bidi="zh-CN"/>
        </w:rPr>
      </w:pPr>
    </w:p>
    <w:p w14:paraId="3ECC74C6">
      <w:pPr>
        <w:rPr>
          <w:rFonts w:ascii="Times New Roman" w:hAnsi="Times New Roman" w:eastAsia="宋体" w:cs="Times New Roman"/>
          <w:b/>
          <w:szCs w:val="21"/>
          <w:highlight w:val="none"/>
        </w:rPr>
      </w:pPr>
      <w:r>
        <w:rPr>
          <w:rFonts w:ascii="Times New Roman" w:hAnsi="Times New Roman" w:eastAsia="宋体" w:cs="Times New Roman"/>
          <w:b/>
          <w:szCs w:val="21"/>
          <w:highlight w:val="none"/>
        </w:rPr>
        <w:t>备注：</w:t>
      </w:r>
    </w:p>
    <w:p w14:paraId="479B1196">
      <w:pPr>
        <w:numPr>
          <w:ilvl w:val="0"/>
          <w:numId w:val="0"/>
        </w:numPr>
        <w:rPr>
          <w:rFonts w:ascii="Times New Roman" w:hAnsi="Times New Roman" w:eastAsia="宋体" w:cs="Times New Roman"/>
          <w:color w:val="auto"/>
          <w:szCs w:val="21"/>
          <w:highlight w:val="none"/>
        </w:rPr>
      </w:pPr>
      <w:r>
        <w:rPr>
          <w:rFonts w:ascii="Times New Roman" w:hAnsi="Times New Roman" w:eastAsia="宋体" w:cs="Times New Roman"/>
          <w:color w:val="auto"/>
          <w:kern w:val="2"/>
          <w:sz w:val="21"/>
          <w:szCs w:val="21"/>
          <w:highlight w:val="none"/>
          <w:lang w:val="en-US" w:eastAsia="zh-CN" w:bidi="ar-SA"/>
        </w:rPr>
        <w:t>1.</w:t>
      </w:r>
      <w:r>
        <w:rPr>
          <w:rFonts w:ascii="Times New Roman" w:hAnsi="Times New Roman" w:eastAsia="宋体" w:cs="Times New Roman"/>
          <w:color w:val="auto"/>
          <w:szCs w:val="21"/>
          <w:highlight w:val="none"/>
        </w:rPr>
        <w:t>表中报价即为优惠后报价，</w:t>
      </w:r>
      <w:r>
        <w:rPr>
          <w:rFonts w:hint="eastAsia" w:ascii="Times New Roman" w:hAnsi="Times New Roman" w:eastAsia="宋体" w:cs="Times New Roman"/>
          <w:color w:val="auto"/>
          <w:szCs w:val="21"/>
          <w:highlight w:val="none"/>
          <w:lang w:val="en-US" w:eastAsia="zh-CN"/>
        </w:rPr>
        <w:t>其中</w:t>
      </w:r>
      <w:r>
        <w:rPr>
          <w:rFonts w:hint="eastAsia" w:ascii="Times New Roman" w:hAnsi="Times New Roman" w:eastAsia="宋体" w:cs="Times New Roman"/>
          <w:b/>
          <w:bCs/>
          <w:color w:val="auto"/>
          <w:szCs w:val="21"/>
          <w:highlight w:val="none"/>
          <w:lang w:val="en-US" w:eastAsia="zh-CN"/>
        </w:rPr>
        <w:t>不含税报价</w:t>
      </w:r>
      <w:r>
        <w:rPr>
          <w:rFonts w:ascii="Times New Roman" w:hAnsi="Times New Roman" w:eastAsia="宋体" w:cs="Times New Roman"/>
          <w:color w:val="auto"/>
          <w:szCs w:val="21"/>
          <w:highlight w:val="none"/>
        </w:rPr>
        <w:t>作为评审及定标依据。任何有选择或有条件的报价，或者表中某一包别填写多个报价，均为无效报价。</w:t>
      </w:r>
    </w:p>
    <w:p w14:paraId="7FDE3DF3">
      <w:pPr>
        <w:numPr>
          <w:ilvl w:val="0"/>
          <w:numId w:val="0"/>
        </w:numPr>
        <w:ind w:left="0" w:leftChars="0" w:firstLine="0" w:firstLineChars="0"/>
        <w:rPr>
          <w:rFonts w:ascii="Times New Roman" w:hAnsi="Times New Roman" w:eastAsia="宋体" w:cs="Times New Roman"/>
          <w:color w:val="auto"/>
          <w:szCs w:val="21"/>
          <w:highlight w:val="none"/>
        </w:rPr>
      </w:pPr>
      <w:r>
        <w:rPr>
          <w:rFonts w:ascii="Times New Roman" w:hAnsi="Times New Roman" w:eastAsia="宋体" w:cs="Times New Roman"/>
          <w:color w:val="auto"/>
          <w:kern w:val="2"/>
          <w:sz w:val="21"/>
          <w:szCs w:val="21"/>
          <w:highlight w:val="none"/>
          <w:lang w:val="en-US" w:eastAsia="zh-CN" w:bidi="ar-SA"/>
        </w:rPr>
        <w:t>2.</w:t>
      </w:r>
      <w:r>
        <w:rPr>
          <w:rFonts w:hint="eastAsia"/>
          <w:highlight w:val="none"/>
          <w:lang w:val="en-US" w:eastAsia="zh-CN"/>
        </w:rPr>
        <w:t>报价金额包含小数的，</w:t>
      </w:r>
      <w:r>
        <w:rPr>
          <w:rFonts w:hint="eastAsia"/>
          <w:b/>
          <w:bCs/>
          <w:highlight w:val="none"/>
          <w:lang w:val="en-US" w:eastAsia="zh-CN"/>
        </w:rPr>
        <w:t>保留两位小数</w:t>
      </w:r>
      <w:r>
        <w:rPr>
          <w:rFonts w:hint="eastAsia"/>
          <w:highlight w:val="none"/>
          <w:lang w:val="en-US" w:eastAsia="zh-CN"/>
        </w:rPr>
        <w:t>，</w:t>
      </w:r>
      <w:r>
        <w:rPr>
          <w:rFonts w:hint="eastAsia"/>
          <w:b/>
          <w:bCs/>
          <w:highlight w:val="none"/>
          <w:lang w:val="en-US" w:eastAsia="zh-CN"/>
        </w:rPr>
        <w:t>含税报价=不含税报价*（1+税率）</w:t>
      </w:r>
      <w:r>
        <w:rPr>
          <w:rFonts w:hint="eastAsia"/>
          <w:highlight w:val="none"/>
          <w:lang w:val="en-US" w:eastAsia="zh-CN"/>
        </w:rPr>
        <w:t>。</w:t>
      </w:r>
    </w:p>
    <w:p w14:paraId="72516358">
      <w:pPr>
        <w:numPr>
          <w:ilvl w:val="0"/>
          <w:numId w:val="0"/>
        </w:numPr>
        <w:ind w:left="0" w:leftChars="0" w:firstLine="0" w:firstLineChars="0"/>
        <w:rPr>
          <w:rFonts w:hint="eastAsia" w:ascii="Times New Roman" w:hAnsi="Times New Roman" w:eastAsia="宋体" w:cs="Times New Roman"/>
          <w:szCs w:val="21"/>
          <w:highlight w:val="none"/>
          <w:lang w:val="en-US" w:eastAsia="zh-CN"/>
        </w:rPr>
      </w:pPr>
      <w:r>
        <w:rPr>
          <w:rFonts w:ascii="Times New Roman" w:hAnsi="Times New Roman" w:eastAsia="宋体" w:cs="Times New Roman"/>
          <w:color w:val="auto"/>
          <w:kern w:val="2"/>
          <w:sz w:val="21"/>
          <w:szCs w:val="21"/>
          <w:highlight w:val="none"/>
          <w:lang w:val="en-US" w:eastAsia="zh-CN" w:bidi="ar-SA"/>
        </w:rPr>
        <w:t>3.</w:t>
      </w:r>
      <w:r>
        <w:rPr>
          <w:rFonts w:hint="eastAsia" w:ascii="Times New Roman" w:hAnsi="Times New Roman" w:eastAsia="宋体" w:cs="Times New Roman"/>
          <w:szCs w:val="21"/>
          <w:highlight w:val="none"/>
          <w:lang w:val="en-US" w:eastAsia="zh-CN"/>
        </w:rPr>
        <w:t>具体报价清单明细详见附件一：阜阳建投物业服务有限公司2026年度园林绿化涂白剂、保温棉、保温膜采购报价清单。</w:t>
      </w:r>
    </w:p>
    <w:p w14:paraId="13F964BB">
      <w:pPr>
        <w:rPr>
          <w:rFonts w:ascii="Times New Roman" w:hAnsi="Times New Roman" w:eastAsia="宋体" w:cs="Times New Roman"/>
          <w:szCs w:val="21"/>
          <w:highlight w:val="none"/>
        </w:rPr>
      </w:pPr>
    </w:p>
    <w:p w14:paraId="5F854264">
      <w:pPr>
        <w:autoSpaceDE w:val="0"/>
        <w:autoSpaceDN w:val="0"/>
        <w:spacing w:before="132" w:line="360" w:lineRule="auto"/>
        <w:ind w:left="1367" w:right="1505"/>
        <w:jc w:val="center"/>
        <w:outlineLvl w:val="0"/>
        <w:rPr>
          <w:rFonts w:ascii="宋体" w:hAnsi="宋体" w:eastAsia="宋体" w:cs="宋体"/>
          <w:b/>
          <w:bCs/>
          <w:kern w:val="0"/>
          <w:szCs w:val="21"/>
          <w:highlight w:val="none"/>
          <w:lang w:val="zh-CN" w:bidi="zh-CN"/>
        </w:rPr>
        <w:sectPr>
          <w:headerReference r:id="rId9" w:type="default"/>
          <w:footerReference r:id="rId10" w:type="default"/>
          <w:pgSz w:w="11910" w:h="16840"/>
          <w:pgMar w:top="1400" w:right="1440" w:bottom="1220" w:left="1580" w:header="877" w:footer="1033" w:gutter="0"/>
          <w:pgNumType w:fmt="decimal"/>
          <w:cols w:space="720" w:num="1"/>
        </w:sectPr>
      </w:pPr>
    </w:p>
    <w:p w14:paraId="5FB6C81B">
      <w:pPr>
        <w:autoSpaceDE w:val="0"/>
        <w:autoSpaceDN w:val="0"/>
        <w:spacing w:before="132" w:line="360" w:lineRule="auto"/>
        <w:ind w:left="1367" w:right="1505"/>
        <w:jc w:val="center"/>
        <w:outlineLvl w:val="0"/>
        <w:rPr>
          <w:rFonts w:ascii="宋体" w:hAnsi="宋体" w:eastAsia="宋体" w:cs="宋体"/>
          <w:b/>
          <w:bCs/>
          <w:kern w:val="0"/>
          <w:szCs w:val="21"/>
          <w:highlight w:val="none"/>
          <w:lang w:val="zh-CN" w:bidi="zh-CN"/>
        </w:rPr>
      </w:pPr>
      <w:bookmarkStart w:id="76" w:name="_Toc23793"/>
      <w:r>
        <w:rPr>
          <w:rFonts w:hint="eastAsia" w:ascii="宋体" w:hAnsi="宋体" w:eastAsia="宋体" w:cs="宋体"/>
          <w:b/>
          <w:bCs/>
          <w:kern w:val="0"/>
          <w:szCs w:val="21"/>
          <w:highlight w:val="none"/>
          <w:lang w:val="en-US" w:bidi="zh-CN"/>
        </w:rPr>
        <w:t>三</w:t>
      </w:r>
      <w:r>
        <w:rPr>
          <w:rFonts w:ascii="宋体" w:hAnsi="宋体" w:eastAsia="宋体" w:cs="宋体"/>
          <w:b/>
          <w:bCs/>
          <w:kern w:val="0"/>
          <w:szCs w:val="21"/>
          <w:highlight w:val="none"/>
          <w:lang w:val="zh-CN" w:bidi="zh-CN"/>
        </w:rPr>
        <w:t>、响应函</w:t>
      </w:r>
      <w:bookmarkEnd w:id="70"/>
      <w:bookmarkEnd w:id="71"/>
      <w:bookmarkEnd w:id="72"/>
      <w:bookmarkEnd w:id="75"/>
      <w:bookmarkEnd w:id="76"/>
    </w:p>
    <w:p w14:paraId="2A3BE879">
      <w:pPr>
        <w:spacing w:before="120" w:beforeLines="50" w:after="120" w:afterLines="50" w:line="360" w:lineRule="auto"/>
        <w:ind w:firstLine="422" w:firstLineChars="200"/>
        <w:rPr>
          <w:rFonts w:ascii="Calibri" w:hAnsi="Calibri" w:eastAsia="宋体" w:cs="Times New Roman"/>
          <w:b/>
          <w:highlight w:val="none"/>
        </w:rPr>
      </w:pPr>
      <w:r>
        <w:rPr>
          <w:rFonts w:ascii="Calibri" w:hAnsi="Calibri" w:eastAsia="宋体" w:cs="Times New Roman"/>
          <w:b/>
          <w:highlight w:val="none"/>
        </w:rPr>
        <w:t>致：</w:t>
      </w:r>
      <w:r>
        <w:rPr>
          <w:rFonts w:hint="eastAsia" w:ascii="Calibri" w:hAnsi="Calibri" w:eastAsia="宋体" w:cs="Times New Roman"/>
          <w:b/>
          <w:highlight w:val="none"/>
        </w:rPr>
        <w:t>（采购人）</w:t>
      </w:r>
    </w:p>
    <w:p w14:paraId="38767F81">
      <w:pPr>
        <w:autoSpaceDE w:val="0"/>
        <w:autoSpaceDN w:val="0"/>
        <w:spacing w:before="2" w:line="360" w:lineRule="auto"/>
        <w:ind w:left="654"/>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根据贵方的</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公告，我方兹宣布同意如下：</w:t>
      </w:r>
    </w:p>
    <w:p w14:paraId="773957D6">
      <w:pPr>
        <w:numPr>
          <w:ilvl w:val="0"/>
          <w:numId w:val="2"/>
        </w:numPr>
        <w:tabs>
          <w:tab w:val="left" w:pos="896"/>
        </w:tabs>
        <w:autoSpaceDE w:val="0"/>
        <w:autoSpaceDN w:val="0"/>
        <w:spacing w:before="160" w:line="360" w:lineRule="auto"/>
        <w:ind w:right="358" w:firstLine="434"/>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按</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通知书规定提供交付</w:t>
      </w:r>
      <w:r>
        <w:rPr>
          <w:rFonts w:hint="eastAsia" w:ascii="宋体" w:hAnsi="宋体" w:eastAsia="宋体" w:cs="宋体"/>
          <w:kern w:val="0"/>
          <w:szCs w:val="21"/>
          <w:highlight w:val="none"/>
          <w:lang w:val="en-US" w:bidi="zh-CN"/>
        </w:rPr>
        <w:t>服务</w:t>
      </w:r>
      <w:r>
        <w:rPr>
          <w:rFonts w:ascii="宋体" w:hAnsi="宋体" w:eastAsia="宋体" w:cs="宋体"/>
          <w:kern w:val="0"/>
          <w:szCs w:val="21"/>
          <w:highlight w:val="none"/>
          <w:lang w:val="zh-CN" w:bidi="zh-CN"/>
        </w:rPr>
        <w:t>的最终报价见报价表，如我方被确定为</w:t>
      </w:r>
      <w:r>
        <w:rPr>
          <w:rFonts w:hint="eastAsia" w:ascii="宋体" w:hAnsi="宋体" w:eastAsia="宋体" w:cs="宋体"/>
          <w:kern w:val="0"/>
          <w:szCs w:val="21"/>
          <w:highlight w:val="none"/>
          <w:lang w:val="zh-CN" w:bidi="zh-CN"/>
        </w:rPr>
        <w:t>中标供应商</w:t>
      </w:r>
      <w:r>
        <w:rPr>
          <w:rFonts w:ascii="宋体" w:hAnsi="宋体" w:eastAsia="宋体" w:cs="宋体"/>
          <w:kern w:val="0"/>
          <w:szCs w:val="21"/>
          <w:highlight w:val="none"/>
          <w:lang w:val="zh-CN" w:bidi="zh-CN"/>
        </w:rPr>
        <w:t>，我方承诺愿意按</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通知书规定缴纳履约保证金和成交服务费。</w:t>
      </w:r>
    </w:p>
    <w:p w14:paraId="669B4CB9">
      <w:pPr>
        <w:numPr>
          <w:ilvl w:val="0"/>
          <w:numId w:val="2"/>
        </w:numPr>
        <w:tabs>
          <w:tab w:val="left" w:pos="896"/>
        </w:tabs>
        <w:autoSpaceDE w:val="0"/>
        <w:autoSpaceDN w:val="0"/>
        <w:spacing w:before="160" w:line="360" w:lineRule="auto"/>
        <w:ind w:right="356" w:firstLine="434"/>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我方根据</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通知书的规定，严格履行合同的责任和义务,并保证于买方要求的日期内完成供货、安装及服务，并通过买方验收。</w:t>
      </w:r>
    </w:p>
    <w:p w14:paraId="3ADD599A">
      <w:pPr>
        <w:numPr>
          <w:ilvl w:val="0"/>
          <w:numId w:val="2"/>
        </w:numPr>
        <w:tabs>
          <w:tab w:val="left" w:pos="896"/>
        </w:tabs>
        <w:autoSpaceDE w:val="0"/>
        <w:autoSpaceDN w:val="0"/>
        <w:spacing w:before="160" w:line="360" w:lineRule="auto"/>
        <w:ind w:right="356" w:firstLine="434"/>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我方已详细审核全部</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通知书，包括</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通知书的澄清或修改（如有），参考资料及有关附件，我方正式认可并遵守本次</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通知书，并对</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通知书各项条款、规定及要求均无异议。我方知道必须放弃提出含糊不清或误解问题的权利。</w:t>
      </w:r>
    </w:p>
    <w:p w14:paraId="0501B226">
      <w:pPr>
        <w:numPr>
          <w:ilvl w:val="0"/>
          <w:numId w:val="2"/>
        </w:numPr>
        <w:tabs>
          <w:tab w:val="left" w:pos="902"/>
        </w:tabs>
        <w:autoSpaceDE w:val="0"/>
        <w:autoSpaceDN w:val="0"/>
        <w:spacing w:before="3" w:line="360" w:lineRule="auto"/>
        <w:ind w:right="356" w:firstLine="434"/>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我方同意从</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通知书规定的响应文件提交截止日期起遵循本</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通知书，并在</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通知书规定的</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有效期之前均具有约束力。</w:t>
      </w:r>
    </w:p>
    <w:p w14:paraId="79B611CF">
      <w:pPr>
        <w:numPr>
          <w:ilvl w:val="0"/>
          <w:numId w:val="2"/>
        </w:numPr>
        <w:tabs>
          <w:tab w:val="left" w:pos="896"/>
        </w:tabs>
        <w:autoSpaceDE w:val="0"/>
        <w:autoSpaceDN w:val="0"/>
        <w:spacing w:before="1" w:line="360" w:lineRule="auto"/>
        <w:ind w:right="357" w:firstLine="434"/>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5F34D597">
      <w:pPr>
        <w:numPr>
          <w:ilvl w:val="0"/>
          <w:numId w:val="2"/>
        </w:numPr>
        <w:tabs>
          <w:tab w:val="left" w:pos="896"/>
        </w:tabs>
        <w:autoSpaceDE w:val="0"/>
        <w:autoSpaceDN w:val="0"/>
        <w:spacing w:before="161" w:line="360" w:lineRule="auto"/>
        <w:ind w:left="895" w:hanging="242"/>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我方接受</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通知书规定的付款方式、免费质保要求。</w:t>
      </w:r>
    </w:p>
    <w:p w14:paraId="040C7116">
      <w:pPr>
        <w:tabs>
          <w:tab w:val="left" w:pos="6461"/>
          <w:tab w:val="left" w:pos="8556"/>
        </w:tabs>
        <w:autoSpaceDE w:val="0"/>
        <w:autoSpaceDN w:val="0"/>
        <w:spacing w:before="194" w:line="360" w:lineRule="auto"/>
        <w:ind w:left="5021" w:right="327"/>
        <w:jc w:val="left"/>
        <w:rPr>
          <w:rFonts w:ascii="宋体" w:hAnsi="宋体" w:eastAsia="宋体" w:cs="宋体"/>
          <w:kern w:val="0"/>
          <w:szCs w:val="21"/>
          <w:highlight w:val="none"/>
          <w:u w:val="single"/>
          <w:lang w:val="zh-CN" w:bidi="zh-CN"/>
        </w:rPr>
      </w:pPr>
      <w:r>
        <w:rPr>
          <w:rFonts w:ascii="宋体" w:hAnsi="宋体" w:eastAsia="宋体" w:cs="宋体"/>
          <w:kern w:val="0"/>
          <w:szCs w:val="21"/>
          <w:highlight w:val="none"/>
          <w:lang w:val="zh-CN" w:bidi="zh-CN"/>
        </w:rPr>
        <w:t>供应商</w:t>
      </w:r>
      <w:r>
        <w:rPr>
          <w:rFonts w:hint="eastAsia" w:ascii="宋体" w:hAnsi="宋体" w:eastAsia="宋体" w:cs="宋体"/>
          <w:kern w:val="0"/>
          <w:szCs w:val="21"/>
          <w:highlight w:val="none"/>
          <w:lang w:val="zh-CN" w:bidi="zh-CN"/>
        </w:rPr>
        <w:t>（</w:t>
      </w:r>
      <w:r>
        <w:rPr>
          <w:rFonts w:hint="eastAsia" w:ascii="宋体" w:hAnsi="宋体" w:eastAsia="宋体" w:cs="宋体"/>
          <w:kern w:val="0"/>
          <w:szCs w:val="21"/>
          <w:highlight w:val="none"/>
          <w:lang w:val="en-US" w:bidi="zh-CN"/>
        </w:rPr>
        <w:t>盖章</w:t>
      </w:r>
      <w:r>
        <w:rPr>
          <w:rFonts w:hint="eastAsia" w:ascii="宋体" w:hAnsi="宋体" w:eastAsia="宋体" w:cs="宋体"/>
          <w:kern w:val="0"/>
          <w:szCs w:val="21"/>
          <w:highlight w:val="none"/>
          <w:lang w:val="zh-CN" w:bidi="zh-CN"/>
        </w:rPr>
        <w:t>）</w:t>
      </w:r>
      <w:r>
        <w:rPr>
          <w:rFonts w:ascii="宋体" w:hAnsi="宋体" w:eastAsia="宋体" w:cs="宋体"/>
          <w:kern w:val="0"/>
          <w:szCs w:val="21"/>
          <w:highlight w:val="none"/>
          <w:lang w:val="zh-CN" w:bidi="zh-CN"/>
        </w:rPr>
        <w:t>：</w:t>
      </w:r>
      <w:r>
        <w:rPr>
          <w:rFonts w:ascii="宋体" w:hAnsi="宋体" w:eastAsia="宋体" w:cs="宋体"/>
          <w:kern w:val="0"/>
          <w:szCs w:val="21"/>
          <w:highlight w:val="none"/>
          <w:u w:val="single"/>
          <w:lang w:val="zh-CN" w:bidi="zh-CN"/>
        </w:rPr>
        <w:t xml:space="preserve"> </w:t>
      </w:r>
      <w:r>
        <w:rPr>
          <w:rFonts w:ascii="宋体" w:hAnsi="宋体" w:eastAsia="宋体" w:cs="宋体"/>
          <w:kern w:val="0"/>
          <w:szCs w:val="21"/>
          <w:highlight w:val="none"/>
          <w:u w:val="single"/>
          <w:lang w:val="zh-CN" w:bidi="zh-CN"/>
        </w:rPr>
        <w:tab/>
      </w:r>
    </w:p>
    <w:p w14:paraId="2C63AA49">
      <w:pPr>
        <w:tabs>
          <w:tab w:val="left" w:pos="6461"/>
          <w:tab w:val="left" w:pos="8556"/>
        </w:tabs>
        <w:autoSpaceDE w:val="0"/>
        <w:autoSpaceDN w:val="0"/>
        <w:spacing w:before="194" w:line="360" w:lineRule="auto"/>
        <w:ind w:right="327" w:firstLine="3360" w:firstLineChars="1600"/>
        <w:jc w:val="left"/>
        <w:rPr>
          <w:rFonts w:ascii="宋体" w:hAnsi="宋体" w:eastAsia="宋体" w:cs="宋体"/>
          <w:kern w:val="0"/>
          <w:szCs w:val="21"/>
          <w:highlight w:val="none"/>
          <w:u w:val="single"/>
          <w:lang w:val="zh-CN" w:bidi="zh-CN"/>
        </w:rPr>
      </w:pPr>
      <w:r>
        <w:rPr>
          <w:rFonts w:hint="eastAsia" w:ascii="宋体" w:hAnsi="宋体" w:eastAsia="宋体" w:cs="宋体"/>
          <w:kern w:val="0"/>
          <w:szCs w:val="21"/>
          <w:highlight w:val="none"/>
          <w:lang w:val="zh-CN" w:bidi="zh-CN"/>
        </w:rPr>
        <w:t>法定代表人或其委托代理人：</w:t>
      </w:r>
      <w:r>
        <w:rPr>
          <w:rFonts w:hint="eastAsia" w:ascii="宋体" w:hAnsi="宋体" w:eastAsia="宋体" w:cs="宋体"/>
          <w:kern w:val="0"/>
          <w:szCs w:val="21"/>
          <w:highlight w:val="none"/>
          <w:u w:val="single"/>
          <w:lang w:val="zh-CN" w:bidi="zh-CN"/>
        </w:rPr>
        <w:t>（签字或盖章）</w:t>
      </w:r>
    </w:p>
    <w:p w14:paraId="40AE78E6">
      <w:pPr>
        <w:tabs>
          <w:tab w:val="left" w:pos="6461"/>
          <w:tab w:val="left" w:pos="8556"/>
        </w:tabs>
        <w:autoSpaceDE w:val="0"/>
        <w:autoSpaceDN w:val="0"/>
        <w:spacing w:before="194" w:line="360" w:lineRule="auto"/>
        <w:ind w:left="5021" w:right="327"/>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日</w:t>
      </w:r>
      <w:r>
        <w:rPr>
          <w:rFonts w:ascii="宋体" w:hAnsi="宋体" w:eastAsia="宋体" w:cs="宋体"/>
          <w:kern w:val="0"/>
          <w:szCs w:val="21"/>
          <w:highlight w:val="none"/>
          <w:lang w:val="zh-CN" w:bidi="zh-CN"/>
        </w:rPr>
        <w:tab/>
      </w:r>
      <w:r>
        <w:rPr>
          <w:rFonts w:ascii="宋体" w:hAnsi="宋体" w:eastAsia="宋体" w:cs="宋体"/>
          <w:kern w:val="0"/>
          <w:szCs w:val="21"/>
          <w:highlight w:val="none"/>
          <w:lang w:val="zh-CN" w:bidi="zh-CN"/>
        </w:rPr>
        <w:t>期：</w:t>
      </w:r>
      <w:r>
        <w:rPr>
          <w:rFonts w:ascii="宋体" w:hAnsi="宋体" w:eastAsia="宋体" w:cs="宋体"/>
          <w:kern w:val="0"/>
          <w:szCs w:val="21"/>
          <w:highlight w:val="none"/>
          <w:u w:val="single"/>
          <w:lang w:val="zh-CN" w:bidi="zh-CN"/>
        </w:rPr>
        <w:t xml:space="preserve"> </w:t>
      </w:r>
      <w:r>
        <w:rPr>
          <w:rFonts w:ascii="宋体" w:hAnsi="宋体" w:eastAsia="宋体" w:cs="宋体"/>
          <w:kern w:val="0"/>
          <w:szCs w:val="21"/>
          <w:highlight w:val="none"/>
          <w:u w:val="single"/>
          <w:lang w:val="zh-CN" w:bidi="zh-CN"/>
        </w:rPr>
        <w:tab/>
      </w:r>
    </w:p>
    <w:p w14:paraId="52CD5E08">
      <w:pPr>
        <w:spacing w:line="360" w:lineRule="auto"/>
        <w:rPr>
          <w:rFonts w:ascii="宋体" w:hAnsi="宋体" w:eastAsia="宋体" w:cs="Times New Roman"/>
          <w:szCs w:val="21"/>
          <w:highlight w:val="none"/>
        </w:rPr>
      </w:pPr>
    </w:p>
    <w:p w14:paraId="3DC0EF03">
      <w:pPr>
        <w:widowControl/>
        <w:spacing w:line="360" w:lineRule="auto"/>
        <w:jc w:val="left"/>
        <w:rPr>
          <w:rFonts w:ascii="宋体" w:hAnsi="宋体" w:eastAsia="宋体" w:cs="Times New Roman"/>
          <w:szCs w:val="21"/>
          <w:highlight w:val="none"/>
        </w:rPr>
      </w:pPr>
      <w:r>
        <w:rPr>
          <w:rFonts w:ascii="宋体" w:hAnsi="宋体" w:eastAsia="宋体" w:cs="Times New Roman"/>
          <w:szCs w:val="21"/>
          <w:highlight w:val="none"/>
        </w:rPr>
        <w:br w:type="page"/>
      </w:r>
    </w:p>
    <w:p w14:paraId="48BB49D5">
      <w:pPr>
        <w:widowControl/>
        <w:spacing w:line="360" w:lineRule="auto"/>
        <w:jc w:val="left"/>
        <w:rPr>
          <w:rFonts w:ascii="宋体" w:hAnsi="宋体" w:eastAsia="宋体" w:cs="Times New Roman"/>
          <w:szCs w:val="21"/>
          <w:highlight w:val="none"/>
        </w:rPr>
      </w:pPr>
    </w:p>
    <w:p w14:paraId="2B2D82AB">
      <w:pPr>
        <w:spacing w:line="360" w:lineRule="auto"/>
        <w:jc w:val="left"/>
        <w:rPr>
          <w:rFonts w:ascii="宋体" w:hAnsi="宋体" w:eastAsia="宋体" w:cs="黑体"/>
          <w:b/>
          <w:szCs w:val="21"/>
          <w:highlight w:val="none"/>
        </w:rPr>
      </w:pPr>
      <w:r>
        <w:rPr>
          <w:rFonts w:hint="eastAsia" w:ascii="宋体" w:hAnsi="宋体" w:eastAsia="宋体" w:cs="黑体"/>
          <w:b/>
          <w:szCs w:val="21"/>
          <w:highlight w:val="none"/>
        </w:rPr>
        <w:t>附录1:</w:t>
      </w:r>
    </w:p>
    <w:p w14:paraId="23BFD073">
      <w:pPr>
        <w:spacing w:line="360" w:lineRule="auto"/>
        <w:jc w:val="left"/>
        <w:rPr>
          <w:rFonts w:ascii="宋体" w:hAnsi="宋体" w:eastAsia="宋体" w:cs="黑体"/>
          <w:b/>
          <w:szCs w:val="21"/>
          <w:highlight w:val="none"/>
        </w:rPr>
      </w:pPr>
    </w:p>
    <w:p w14:paraId="45C57302">
      <w:pPr>
        <w:spacing w:line="360" w:lineRule="auto"/>
        <w:jc w:val="center"/>
        <w:rPr>
          <w:rFonts w:ascii="宋体" w:hAnsi="宋体" w:eastAsia="宋体" w:cs="黑体"/>
          <w:b/>
          <w:szCs w:val="21"/>
          <w:highlight w:val="none"/>
        </w:rPr>
      </w:pPr>
      <w:r>
        <w:rPr>
          <w:rFonts w:hint="eastAsia" w:ascii="宋体" w:hAnsi="宋体" w:eastAsia="宋体" w:cs="黑体"/>
          <w:b/>
          <w:szCs w:val="21"/>
          <w:highlight w:val="none"/>
        </w:rPr>
        <w:t>供应商诚信承诺书</w:t>
      </w:r>
    </w:p>
    <w:p w14:paraId="3C597D12">
      <w:pPr>
        <w:spacing w:line="360" w:lineRule="auto"/>
        <w:rPr>
          <w:rFonts w:ascii="宋体" w:hAnsi="宋体" w:eastAsia="宋体" w:cs="Times New Roman"/>
          <w:b/>
          <w:bCs/>
          <w:kern w:val="0"/>
          <w:szCs w:val="21"/>
          <w:highlight w:val="none"/>
          <w:u w:val="single"/>
        </w:rPr>
      </w:pPr>
      <w:r>
        <w:rPr>
          <w:rFonts w:hint="eastAsia" w:ascii="宋体" w:hAnsi="宋体" w:eastAsia="宋体" w:cs="Times New Roman"/>
          <w:b/>
          <w:bCs/>
          <w:kern w:val="0"/>
          <w:szCs w:val="21"/>
          <w:highlight w:val="none"/>
        </w:rPr>
        <w:t>致：</w:t>
      </w:r>
      <w:r>
        <w:rPr>
          <w:rFonts w:hint="eastAsia" w:ascii="宋体" w:hAnsi="宋体" w:eastAsia="宋体" w:cs="Times New Roman"/>
          <w:b/>
          <w:bCs/>
          <w:kern w:val="0"/>
          <w:szCs w:val="21"/>
          <w:highlight w:val="none"/>
          <w:u w:val="single"/>
        </w:rPr>
        <w:t xml:space="preserve">  （采购人）</w:t>
      </w:r>
    </w:p>
    <w:p w14:paraId="07627193">
      <w:pPr>
        <w:spacing w:line="360" w:lineRule="auto"/>
        <w:ind w:firstLine="420" w:firstLineChars="200"/>
        <w:jc w:val="left"/>
        <w:rPr>
          <w:rFonts w:ascii="宋体" w:hAnsi="宋体" w:eastAsia="宋体" w:cs="Times New Roman"/>
          <w:kern w:val="0"/>
          <w:szCs w:val="21"/>
          <w:highlight w:val="none"/>
          <w:u w:val="single"/>
        </w:rPr>
      </w:pPr>
    </w:p>
    <w:p w14:paraId="43D645E8">
      <w:pPr>
        <w:spacing w:line="360" w:lineRule="auto"/>
        <w:ind w:firstLine="420" w:firstLineChars="200"/>
        <w:rPr>
          <w:rFonts w:ascii="宋体" w:hAnsi="宋体" w:eastAsia="宋体" w:cs="仿宋"/>
          <w:szCs w:val="21"/>
          <w:highlight w:val="none"/>
        </w:rPr>
      </w:pPr>
      <w:r>
        <w:rPr>
          <w:rFonts w:hint="eastAsia" w:ascii="宋体" w:hAnsi="宋体" w:eastAsia="宋体" w:cs="仿宋"/>
          <w:szCs w:val="21"/>
          <w:highlight w:val="none"/>
        </w:rPr>
        <w:t>我单位参加本次</w:t>
      </w:r>
      <w:r>
        <w:rPr>
          <w:rFonts w:hint="eastAsia" w:ascii="宋体" w:hAnsi="宋体" w:eastAsia="宋体" w:cs="仿宋"/>
          <w:szCs w:val="21"/>
          <w:highlight w:val="none"/>
          <w:lang w:eastAsia="zh-CN"/>
        </w:rPr>
        <w:t>谈判</w:t>
      </w:r>
      <w:r>
        <w:rPr>
          <w:rFonts w:hint="eastAsia" w:ascii="宋体" w:hAnsi="宋体" w:eastAsia="宋体" w:cs="仿宋"/>
          <w:szCs w:val="21"/>
          <w:highlight w:val="none"/>
        </w:rPr>
        <w:t>，承诺如下：</w:t>
      </w:r>
    </w:p>
    <w:p w14:paraId="5CCA0955">
      <w:pPr>
        <w:spacing w:line="360" w:lineRule="auto"/>
        <w:ind w:firstLine="420" w:firstLineChars="200"/>
        <w:rPr>
          <w:rFonts w:ascii="宋体" w:hAnsi="宋体" w:eastAsia="宋体" w:cs="仿宋"/>
          <w:szCs w:val="21"/>
          <w:highlight w:val="none"/>
        </w:rPr>
      </w:pPr>
      <w:r>
        <w:rPr>
          <w:rFonts w:hint="eastAsia" w:ascii="宋体" w:hAnsi="宋体" w:eastAsia="宋体" w:cs="仿宋"/>
          <w:szCs w:val="21"/>
          <w:highlight w:val="none"/>
        </w:rPr>
        <w:t>1. 提供的所有资料都是真实有效。如被发现提供虚假资料或虚假承诺（声明），同意取消</w:t>
      </w:r>
      <w:r>
        <w:rPr>
          <w:rFonts w:hint="eastAsia" w:ascii="宋体" w:hAnsi="宋体" w:eastAsia="宋体" w:cs="仿宋"/>
          <w:szCs w:val="21"/>
          <w:highlight w:val="none"/>
          <w:lang w:eastAsia="zh-CN"/>
        </w:rPr>
        <w:t>谈判</w:t>
      </w:r>
      <w:r>
        <w:rPr>
          <w:rFonts w:hint="eastAsia" w:ascii="宋体" w:hAnsi="宋体" w:eastAsia="宋体" w:cs="仿宋"/>
          <w:szCs w:val="21"/>
          <w:highlight w:val="none"/>
        </w:rPr>
        <w:t>和成交候选人资格。</w:t>
      </w:r>
    </w:p>
    <w:p w14:paraId="1F23FF70">
      <w:pPr>
        <w:spacing w:line="360" w:lineRule="auto"/>
        <w:ind w:firstLine="420" w:firstLineChars="200"/>
        <w:rPr>
          <w:rFonts w:ascii="宋体" w:hAnsi="宋体" w:eastAsia="宋体" w:cs="仿宋"/>
          <w:szCs w:val="21"/>
          <w:highlight w:val="none"/>
        </w:rPr>
      </w:pPr>
      <w:r>
        <w:rPr>
          <w:rFonts w:hint="eastAsia" w:ascii="宋体" w:hAnsi="宋体" w:eastAsia="宋体" w:cs="仿宋"/>
          <w:szCs w:val="21"/>
          <w:highlight w:val="none"/>
        </w:rPr>
        <w:t>2. 不存在借用资质、串通投标等情形。如被发现，同意取消</w:t>
      </w:r>
      <w:r>
        <w:rPr>
          <w:rFonts w:hint="eastAsia" w:ascii="宋体" w:hAnsi="宋体" w:eastAsia="宋体" w:cs="仿宋"/>
          <w:szCs w:val="21"/>
          <w:highlight w:val="none"/>
          <w:lang w:eastAsia="zh-CN"/>
        </w:rPr>
        <w:t>谈判</w:t>
      </w:r>
      <w:r>
        <w:rPr>
          <w:rFonts w:hint="eastAsia" w:ascii="宋体" w:hAnsi="宋体" w:eastAsia="宋体" w:cs="仿宋"/>
          <w:szCs w:val="21"/>
          <w:highlight w:val="none"/>
        </w:rPr>
        <w:t>和成交候选人资格。</w:t>
      </w:r>
    </w:p>
    <w:p w14:paraId="2B2FD007">
      <w:pPr>
        <w:spacing w:line="360" w:lineRule="auto"/>
        <w:ind w:firstLine="420" w:firstLineChars="200"/>
        <w:rPr>
          <w:rFonts w:ascii="宋体" w:hAnsi="宋体" w:eastAsia="宋体" w:cs="仿宋"/>
          <w:szCs w:val="21"/>
          <w:highlight w:val="none"/>
        </w:rPr>
      </w:pPr>
      <w:r>
        <w:rPr>
          <w:rFonts w:hint="eastAsia" w:ascii="宋体" w:hAnsi="宋体" w:eastAsia="宋体" w:cs="仿宋"/>
          <w:szCs w:val="21"/>
          <w:highlight w:val="none"/>
        </w:rPr>
        <w:t>3．如我方为成交候选人，除不可抗力（是指不能预见、不能避免并不能克服的客观情况，包括自然灾害和社会突发事件，如地震、海啸、瘟疫、水灾、骚乱、暴动、战争等），不因任何其它原因放弃成交候选人资格。</w:t>
      </w:r>
    </w:p>
    <w:p w14:paraId="7D392383">
      <w:pPr>
        <w:spacing w:line="360" w:lineRule="auto"/>
        <w:ind w:firstLine="420" w:firstLineChars="200"/>
        <w:rPr>
          <w:rFonts w:ascii="宋体" w:hAnsi="宋体" w:eastAsia="宋体" w:cs="仿宋"/>
          <w:szCs w:val="21"/>
          <w:highlight w:val="none"/>
        </w:rPr>
      </w:pPr>
      <w:r>
        <w:rPr>
          <w:rFonts w:hint="eastAsia" w:ascii="宋体" w:hAnsi="宋体" w:eastAsia="宋体" w:cs="仿宋"/>
          <w:szCs w:val="21"/>
          <w:highlight w:val="none"/>
        </w:rPr>
        <w:t>4、我方成交后，严格按照采购文件和我单位响应文件的约定签订合同。</w:t>
      </w:r>
    </w:p>
    <w:p w14:paraId="07E57365">
      <w:pPr>
        <w:spacing w:line="360" w:lineRule="auto"/>
        <w:ind w:firstLine="420" w:firstLineChars="200"/>
        <w:rPr>
          <w:rFonts w:ascii="宋体" w:hAnsi="宋体" w:eastAsia="宋体" w:cs="仿宋"/>
          <w:szCs w:val="21"/>
          <w:highlight w:val="none"/>
        </w:rPr>
      </w:pPr>
      <w:r>
        <w:rPr>
          <w:rFonts w:hint="eastAsia" w:ascii="宋体" w:hAnsi="宋体" w:eastAsia="宋体" w:cs="仿宋"/>
          <w:szCs w:val="21"/>
          <w:highlight w:val="none"/>
        </w:rPr>
        <w:t>5、我方同意将达不到供应商资格要求条件仍参与</w:t>
      </w:r>
      <w:r>
        <w:rPr>
          <w:rFonts w:hint="eastAsia" w:ascii="宋体" w:hAnsi="宋体" w:eastAsia="宋体" w:cs="仿宋"/>
          <w:szCs w:val="21"/>
          <w:highlight w:val="none"/>
          <w:lang w:eastAsia="zh-CN"/>
        </w:rPr>
        <w:t>谈判</w:t>
      </w:r>
      <w:r>
        <w:rPr>
          <w:rFonts w:hint="eastAsia" w:ascii="宋体" w:hAnsi="宋体" w:eastAsia="宋体" w:cs="仿宋"/>
          <w:szCs w:val="21"/>
          <w:highlight w:val="none"/>
        </w:rPr>
        <w:t>或被行政主管部门、监督管理部门等暂停、取消公共资源交易资格且在限制期内仍参与</w:t>
      </w:r>
      <w:r>
        <w:rPr>
          <w:rFonts w:hint="eastAsia" w:ascii="宋体" w:hAnsi="宋体" w:eastAsia="宋体" w:cs="仿宋"/>
          <w:szCs w:val="21"/>
          <w:highlight w:val="none"/>
          <w:lang w:eastAsia="zh-CN"/>
        </w:rPr>
        <w:t>谈判</w:t>
      </w:r>
      <w:r>
        <w:rPr>
          <w:rFonts w:hint="eastAsia" w:ascii="宋体" w:hAnsi="宋体" w:eastAsia="宋体" w:cs="仿宋"/>
          <w:szCs w:val="21"/>
          <w:highlight w:val="none"/>
        </w:rPr>
        <w:t>的情形视为弄虚作假，愿意接受处理。</w:t>
      </w:r>
    </w:p>
    <w:p w14:paraId="20572C03">
      <w:pPr>
        <w:spacing w:line="360" w:lineRule="auto"/>
        <w:ind w:firstLine="420" w:firstLineChars="200"/>
        <w:rPr>
          <w:rFonts w:ascii="宋体" w:hAnsi="宋体" w:eastAsia="宋体" w:cs="仿宋"/>
          <w:szCs w:val="21"/>
          <w:highlight w:val="none"/>
        </w:rPr>
      </w:pPr>
      <w:r>
        <w:rPr>
          <w:rFonts w:hint="eastAsia" w:ascii="宋体" w:hAnsi="宋体" w:eastAsia="宋体" w:cs="仿宋"/>
          <w:szCs w:val="21"/>
          <w:highlight w:val="none"/>
        </w:rPr>
        <w:t>6、我方参与</w:t>
      </w:r>
      <w:r>
        <w:rPr>
          <w:rFonts w:hint="eastAsia" w:ascii="宋体" w:hAnsi="宋体" w:eastAsia="宋体" w:cs="仿宋"/>
          <w:szCs w:val="21"/>
          <w:highlight w:val="none"/>
          <w:lang w:eastAsia="zh-CN"/>
        </w:rPr>
        <w:t>谈判</w:t>
      </w:r>
      <w:r>
        <w:rPr>
          <w:rFonts w:hint="eastAsia" w:ascii="宋体" w:hAnsi="宋体" w:eastAsia="宋体" w:cs="仿宋"/>
          <w:szCs w:val="21"/>
          <w:highlight w:val="none"/>
        </w:rPr>
        <w:t>如出现报价高于该项目最高限价的情形，同意视为串通投标并接受处理。</w:t>
      </w:r>
    </w:p>
    <w:p w14:paraId="05F8FFE8">
      <w:pPr>
        <w:spacing w:line="360" w:lineRule="auto"/>
        <w:ind w:firstLine="420" w:firstLineChars="200"/>
        <w:rPr>
          <w:rFonts w:ascii="宋体" w:hAnsi="宋体" w:eastAsia="宋体" w:cs="华文仿宋"/>
          <w:kern w:val="0"/>
          <w:szCs w:val="21"/>
          <w:highlight w:val="none"/>
        </w:rPr>
      </w:pPr>
      <w:r>
        <w:rPr>
          <w:rFonts w:hint="eastAsia" w:ascii="宋体" w:hAnsi="宋体" w:eastAsia="宋体" w:cs="华文仿宋"/>
          <w:kern w:val="0"/>
          <w:szCs w:val="21"/>
          <w:highlight w:val="none"/>
        </w:rPr>
        <w:t>出现违反上述承诺情形之一的，我单位还同意在 1 至 3 年内不参与</w:t>
      </w:r>
      <w:r>
        <w:rPr>
          <w:rFonts w:hint="eastAsia" w:ascii="宋体" w:hAnsi="宋体" w:eastAsia="宋体" w:cs="华文仿宋"/>
          <w:kern w:val="0"/>
          <w:szCs w:val="21"/>
          <w:highlight w:val="none"/>
          <w:lang w:val="en-US" w:eastAsia="zh-CN"/>
        </w:rPr>
        <w:t>贵公司招标</w:t>
      </w:r>
      <w:r>
        <w:rPr>
          <w:rFonts w:hint="eastAsia" w:ascii="宋体" w:hAnsi="宋体" w:eastAsia="宋体" w:cs="华文仿宋"/>
          <w:kern w:val="0"/>
          <w:szCs w:val="21"/>
          <w:highlight w:val="none"/>
        </w:rPr>
        <w:t>活动，且后期我单位不因公司表现良好等各种理由向采购人申请予以恢复</w:t>
      </w:r>
      <w:r>
        <w:rPr>
          <w:rFonts w:hint="eastAsia" w:ascii="宋体" w:hAnsi="宋体" w:eastAsia="宋体" w:cs="华文仿宋"/>
          <w:kern w:val="0"/>
          <w:szCs w:val="21"/>
          <w:highlight w:val="none"/>
          <w:lang w:val="en-US" w:eastAsia="zh-CN"/>
        </w:rPr>
        <w:t>参与招标</w:t>
      </w:r>
      <w:r>
        <w:rPr>
          <w:rFonts w:hint="eastAsia" w:ascii="宋体" w:hAnsi="宋体" w:eastAsia="宋体" w:cs="华文仿宋"/>
          <w:kern w:val="0"/>
          <w:szCs w:val="21"/>
          <w:highlight w:val="none"/>
        </w:rPr>
        <w:t>活动，采购人也不应以公司表现良好等各种理由为由提前解除对我单位的处理。愿意公开披露我单位违反承诺的不良行为信息，愿意接受处罚并承担所有经济损失和法律责任。</w:t>
      </w:r>
    </w:p>
    <w:p w14:paraId="68E5D8A4">
      <w:pPr>
        <w:spacing w:line="360" w:lineRule="auto"/>
        <w:ind w:firstLine="522" w:firstLineChars="249"/>
        <w:rPr>
          <w:rFonts w:ascii="宋体" w:hAnsi="宋体" w:eastAsia="宋体" w:cs="Times New Roman"/>
          <w:szCs w:val="21"/>
          <w:highlight w:val="none"/>
        </w:rPr>
      </w:pPr>
      <w:r>
        <w:rPr>
          <w:rFonts w:hint="eastAsia" w:ascii="宋体" w:hAnsi="宋体" w:eastAsia="宋体" w:cs="Times New Roman"/>
          <w:szCs w:val="21"/>
          <w:highlight w:val="none"/>
        </w:rPr>
        <w:t>此承诺不受</w:t>
      </w:r>
      <w:r>
        <w:rPr>
          <w:rFonts w:hint="eastAsia" w:ascii="宋体" w:hAnsi="宋体" w:eastAsia="宋体" w:cs="Times New Roman"/>
          <w:szCs w:val="21"/>
          <w:highlight w:val="none"/>
          <w:lang w:eastAsia="zh-CN"/>
        </w:rPr>
        <w:t>谈判</w:t>
      </w:r>
      <w:r>
        <w:rPr>
          <w:rFonts w:hint="eastAsia" w:ascii="宋体" w:hAnsi="宋体" w:eastAsia="宋体" w:cs="Times New Roman"/>
          <w:szCs w:val="21"/>
          <w:highlight w:val="none"/>
        </w:rPr>
        <w:t>有效期的限制。</w:t>
      </w:r>
    </w:p>
    <w:p w14:paraId="3DAD2732">
      <w:pPr>
        <w:spacing w:line="360" w:lineRule="auto"/>
        <w:ind w:firstLine="420" w:firstLineChars="200"/>
        <w:rPr>
          <w:rFonts w:ascii="宋体" w:hAnsi="宋体" w:eastAsia="宋体" w:cs="华文仿宋"/>
          <w:kern w:val="0"/>
          <w:szCs w:val="21"/>
          <w:highlight w:val="none"/>
        </w:rPr>
      </w:pPr>
    </w:p>
    <w:p w14:paraId="75D008BA">
      <w:pPr>
        <w:spacing w:line="360" w:lineRule="auto"/>
        <w:ind w:firstLine="420"/>
        <w:rPr>
          <w:rFonts w:ascii="宋体" w:hAnsi="宋体" w:eastAsia="宋体" w:cs="宋体"/>
          <w:kern w:val="0"/>
          <w:szCs w:val="21"/>
          <w:highlight w:val="none"/>
          <w:u w:val="single"/>
        </w:rPr>
      </w:pPr>
      <w:r>
        <w:rPr>
          <w:rFonts w:hint="eastAsia" w:ascii="宋体" w:hAnsi="宋体" w:eastAsia="宋体" w:cs="宋体"/>
          <w:kern w:val="0"/>
          <w:szCs w:val="21"/>
          <w:highlight w:val="none"/>
        </w:rPr>
        <w:t xml:space="preserve">                      </w:t>
      </w:r>
      <w:r>
        <w:rPr>
          <w:rFonts w:hint="eastAsia" w:ascii="宋体" w:hAnsi="宋体" w:eastAsia="宋体" w:cs="Times New Roman"/>
          <w:kern w:val="0"/>
          <w:szCs w:val="21"/>
          <w:highlight w:val="none"/>
        </w:rPr>
        <w:t>供应商</w:t>
      </w:r>
      <w:r>
        <w:rPr>
          <w:rFonts w:hint="eastAsia" w:ascii="宋体" w:hAnsi="宋体" w:eastAsia="宋体" w:cs="Times New Roman"/>
          <w:kern w:val="0"/>
          <w:szCs w:val="21"/>
          <w:highlight w:val="none"/>
          <w:lang w:eastAsia="zh-CN"/>
        </w:rPr>
        <w:t>（</w:t>
      </w:r>
      <w:r>
        <w:rPr>
          <w:rFonts w:hint="eastAsia" w:ascii="宋体" w:hAnsi="宋体" w:eastAsia="宋体" w:cs="Times New Roman"/>
          <w:kern w:val="0"/>
          <w:szCs w:val="21"/>
          <w:highlight w:val="none"/>
          <w:lang w:val="en-US" w:eastAsia="zh-CN"/>
        </w:rPr>
        <w:t>盖章</w:t>
      </w:r>
      <w:r>
        <w:rPr>
          <w:rFonts w:hint="eastAsia" w:ascii="宋体" w:hAnsi="宋体" w:eastAsia="宋体" w:cs="Times New Roman"/>
          <w:kern w:val="0"/>
          <w:szCs w:val="21"/>
          <w:highlight w:val="none"/>
          <w:lang w:eastAsia="zh-CN"/>
        </w:rPr>
        <w:t>）</w:t>
      </w:r>
      <w:r>
        <w:rPr>
          <w:rFonts w:hint="eastAsia" w:ascii="宋体" w:hAnsi="宋体" w:eastAsia="宋体" w:cs="宋体"/>
          <w:kern w:val="0"/>
          <w:szCs w:val="21"/>
          <w:highlight w:val="none"/>
        </w:rPr>
        <w:t>：</w:t>
      </w:r>
      <w:r>
        <w:rPr>
          <w:rFonts w:hint="eastAsia" w:ascii="宋体" w:hAnsi="宋体" w:eastAsia="宋体" w:cs="宋体"/>
          <w:kern w:val="0"/>
          <w:szCs w:val="21"/>
          <w:highlight w:val="none"/>
          <w:u w:val="single"/>
        </w:rPr>
        <w:t xml:space="preserve">                       </w:t>
      </w:r>
    </w:p>
    <w:p w14:paraId="51C4FE56">
      <w:pPr>
        <w:spacing w:line="360" w:lineRule="auto"/>
        <w:ind w:firstLine="2362" w:firstLineChars="1125"/>
        <w:rPr>
          <w:rFonts w:ascii="宋体" w:hAnsi="宋体" w:eastAsia="宋体" w:cs="Times New Roman"/>
          <w:kern w:val="0"/>
          <w:szCs w:val="21"/>
          <w:highlight w:val="none"/>
        </w:rPr>
      </w:pPr>
      <w:r>
        <w:rPr>
          <w:rFonts w:hint="eastAsia" w:ascii="宋体" w:hAnsi="宋体" w:eastAsia="宋体" w:cs="Times New Roman"/>
          <w:kern w:val="0"/>
          <w:szCs w:val="21"/>
          <w:highlight w:val="none"/>
        </w:rPr>
        <w:t>法定代表人或其委托代理人：</w:t>
      </w:r>
      <w:r>
        <w:rPr>
          <w:rFonts w:hint="eastAsia" w:ascii="宋体" w:hAnsi="宋体" w:eastAsia="宋体" w:cs="Times New Roman"/>
          <w:kern w:val="0"/>
          <w:szCs w:val="21"/>
          <w:highlight w:val="none"/>
          <w:u w:val="single"/>
        </w:rPr>
        <w:t>（签字或盖章）</w:t>
      </w:r>
    </w:p>
    <w:p w14:paraId="5233B0CB">
      <w:pPr>
        <w:spacing w:line="360" w:lineRule="auto"/>
        <w:ind w:firstLine="420"/>
        <w:jc w:val="center"/>
        <w:rPr>
          <w:rFonts w:ascii="宋体" w:hAnsi="宋体" w:eastAsia="宋体" w:cs="宋体"/>
          <w:kern w:val="0"/>
          <w:szCs w:val="21"/>
          <w:highlight w:val="none"/>
        </w:rPr>
      </w:pPr>
      <w:r>
        <w:rPr>
          <w:rFonts w:hint="eastAsia" w:ascii="宋体" w:hAnsi="宋体" w:eastAsia="宋体" w:cs="宋体"/>
          <w:kern w:val="0"/>
          <w:szCs w:val="21"/>
          <w:highlight w:val="none"/>
        </w:rPr>
        <w:t xml:space="preserve">                                               年   月    日</w:t>
      </w:r>
    </w:p>
    <w:p w14:paraId="7CD154AF">
      <w:pPr>
        <w:jc w:val="left"/>
        <w:rPr>
          <w:rFonts w:ascii="Times New Roman" w:hAnsi="Times New Roman" w:eastAsia="宋体" w:cs="Times New Roman"/>
          <w:kern w:val="0"/>
          <w:sz w:val="20"/>
          <w:szCs w:val="21"/>
          <w:highlight w:val="none"/>
        </w:rPr>
      </w:pPr>
    </w:p>
    <w:p w14:paraId="5F9DB3F7">
      <w:pPr>
        <w:rPr>
          <w:rFonts w:ascii="Times New Roman" w:hAnsi="Times New Roman" w:eastAsia="宋体" w:cs="Times New Roman"/>
          <w:szCs w:val="21"/>
          <w:highlight w:val="none"/>
        </w:rPr>
      </w:pPr>
    </w:p>
    <w:p w14:paraId="51B1CF8E">
      <w:pPr>
        <w:rPr>
          <w:rFonts w:ascii="Times New Roman" w:hAnsi="Times New Roman" w:eastAsia="宋体" w:cs="Times New Roman"/>
          <w:szCs w:val="21"/>
          <w:highlight w:val="none"/>
        </w:rPr>
      </w:pPr>
    </w:p>
    <w:p w14:paraId="4744B374">
      <w:pPr>
        <w:rPr>
          <w:rFonts w:ascii="Calibri" w:hAnsi="Calibri" w:eastAsia="宋体" w:cs="Times New Roman"/>
          <w:color w:val="000000"/>
          <w:szCs w:val="24"/>
          <w:highlight w:val="none"/>
        </w:rPr>
      </w:pPr>
    </w:p>
    <w:p w14:paraId="63533ACC">
      <w:pPr>
        <w:rPr>
          <w:rFonts w:hint="eastAsia" w:ascii="宋体" w:hAnsi="宋体" w:eastAsia="宋体" w:cs="宋体"/>
          <w:b/>
          <w:bCs/>
          <w:kern w:val="0"/>
          <w:szCs w:val="21"/>
          <w:highlight w:val="none"/>
          <w:lang w:val="en-US" w:bidi="zh-CN"/>
        </w:rPr>
      </w:pPr>
      <w:bookmarkStart w:id="77" w:name="_Toc17411"/>
      <w:bookmarkStart w:id="78" w:name="_Toc20956"/>
      <w:bookmarkStart w:id="79" w:name="_Toc7257"/>
      <w:bookmarkStart w:id="80" w:name="_Toc20977"/>
      <w:bookmarkStart w:id="81" w:name="_Toc30873"/>
      <w:r>
        <w:rPr>
          <w:rFonts w:hint="eastAsia" w:ascii="宋体" w:hAnsi="宋体" w:eastAsia="宋体" w:cs="宋体"/>
          <w:b/>
          <w:bCs/>
          <w:kern w:val="0"/>
          <w:szCs w:val="21"/>
          <w:highlight w:val="none"/>
          <w:lang w:val="en-US" w:bidi="zh-CN"/>
        </w:rPr>
        <w:br w:type="page"/>
      </w:r>
    </w:p>
    <w:p w14:paraId="736C6ABF">
      <w:pPr>
        <w:autoSpaceDE w:val="0"/>
        <w:autoSpaceDN w:val="0"/>
        <w:spacing w:before="132" w:line="360" w:lineRule="auto"/>
        <w:ind w:left="1367" w:right="1505"/>
        <w:jc w:val="center"/>
        <w:outlineLvl w:val="0"/>
        <w:rPr>
          <w:rFonts w:ascii="宋体" w:hAnsi="宋体" w:eastAsia="宋体" w:cs="宋体"/>
          <w:b/>
          <w:bCs/>
          <w:kern w:val="0"/>
          <w:szCs w:val="21"/>
          <w:highlight w:val="none"/>
          <w:lang w:val="zh-CN" w:bidi="zh-CN"/>
        </w:rPr>
      </w:pPr>
      <w:r>
        <w:rPr>
          <w:rFonts w:hint="eastAsia" w:ascii="宋体" w:hAnsi="宋体" w:eastAsia="宋体" w:cs="宋体"/>
          <w:b/>
          <w:bCs/>
          <w:kern w:val="0"/>
          <w:szCs w:val="21"/>
          <w:highlight w:val="none"/>
          <w:lang w:val="en-US" w:bidi="zh-CN"/>
        </w:rPr>
        <w:t>四</w:t>
      </w:r>
      <w:r>
        <w:rPr>
          <w:rFonts w:ascii="宋体" w:hAnsi="宋体" w:eastAsia="宋体" w:cs="宋体"/>
          <w:b/>
          <w:bCs/>
          <w:kern w:val="0"/>
          <w:szCs w:val="21"/>
          <w:highlight w:val="none"/>
          <w:lang w:val="zh-CN" w:bidi="zh-CN"/>
        </w:rPr>
        <w:t>、无重大违法记录声明函、无不良信用记录声明函</w:t>
      </w:r>
      <w:bookmarkEnd w:id="77"/>
      <w:bookmarkEnd w:id="78"/>
      <w:bookmarkEnd w:id="79"/>
      <w:bookmarkEnd w:id="80"/>
      <w:bookmarkEnd w:id="81"/>
    </w:p>
    <w:p w14:paraId="50B07389">
      <w:pPr>
        <w:spacing w:before="120" w:beforeLines="50" w:after="120" w:afterLines="50" w:line="360" w:lineRule="auto"/>
        <w:ind w:firstLine="422" w:firstLineChars="200"/>
        <w:rPr>
          <w:rFonts w:ascii="Calibri" w:hAnsi="Calibri" w:eastAsia="宋体" w:cs="Times New Roman"/>
          <w:b/>
          <w:highlight w:val="none"/>
        </w:rPr>
      </w:pPr>
      <w:r>
        <w:rPr>
          <w:rFonts w:ascii="Calibri" w:hAnsi="Calibri" w:eastAsia="宋体" w:cs="Times New Roman"/>
          <w:b/>
          <w:highlight w:val="none"/>
        </w:rPr>
        <w:t>(联合体报价的，联合体各方均须提供）</w:t>
      </w:r>
    </w:p>
    <w:p w14:paraId="37556A54">
      <w:pPr>
        <w:numPr>
          <w:ilvl w:val="0"/>
          <w:numId w:val="3"/>
        </w:numPr>
        <w:tabs>
          <w:tab w:val="left" w:pos="896"/>
        </w:tabs>
        <w:autoSpaceDE w:val="0"/>
        <w:autoSpaceDN w:val="0"/>
        <w:spacing w:before="132" w:line="360" w:lineRule="auto"/>
        <w:ind w:right="357" w:firstLine="434"/>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0937FEBD">
      <w:pPr>
        <w:numPr>
          <w:ilvl w:val="0"/>
          <w:numId w:val="3"/>
        </w:numPr>
        <w:tabs>
          <w:tab w:val="left" w:pos="896"/>
        </w:tabs>
        <w:autoSpaceDE w:val="0"/>
        <w:autoSpaceDN w:val="0"/>
        <w:spacing w:line="360" w:lineRule="auto"/>
        <w:ind w:left="895" w:hanging="242"/>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本单位郑重声明，我单位无以下不良信用记录情形：</w:t>
      </w:r>
    </w:p>
    <w:p w14:paraId="653801E8">
      <w:pPr>
        <w:numPr>
          <w:ilvl w:val="0"/>
          <w:numId w:val="4"/>
        </w:numPr>
        <w:tabs>
          <w:tab w:val="left" w:pos="1256"/>
        </w:tabs>
        <w:autoSpaceDE w:val="0"/>
        <w:autoSpaceDN w:val="0"/>
        <w:spacing w:before="134" w:line="360" w:lineRule="auto"/>
        <w:ind w:hanging="602"/>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被人民法院列入失信被执行人；</w:t>
      </w:r>
    </w:p>
    <w:p w14:paraId="1E7F884E">
      <w:pPr>
        <w:numPr>
          <w:ilvl w:val="0"/>
          <w:numId w:val="4"/>
        </w:numPr>
        <w:tabs>
          <w:tab w:val="left" w:pos="1262"/>
        </w:tabs>
        <w:autoSpaceDE w:val="0"/>
        <w:autoSpaceDN w:val="0"/>
        <w:spacing w:before="132" w:line="360" w:lineRule="auto"/>
        <w:ind w:left="220" w:right="357" w:firstLine="434"/>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单位、法定代表人或拟派项目经理（项目负责人）被人民检察院列入行贿犯罪档案；</w:t>
      </w:r>
    </w:p>
    <w:p w14:paraId="4278C31E">
      <w:pPr>
        <w:numPr>
          <w:ilvl w:val="0"/>
          <w:numId w:val="4"/>
        </w:numPr>
        <w:tabs>
          <w:tab w:val="left" w:pos="1256"/>
        </w:tabs>
        <w:autoSpaceDE w:val="0"/>
        <w:autoSpaceDN w:val="0"/>
        <w:spacing w:before="1" w:line="360" w:lineRule="auto"/>
        <w:ind w:hanging="602"/>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被工商行政管理部门列入企业经营异常名录；</w:t>
      </w:r>
    </w:p>
    <w:p w14:paraId="61A1D2BD">
      <w:pPr>
        <w:numPr>
          <w:ilvl w:val="0"/>
          <w:numId w:val="4"/>
        </w:numPr>
        <w:tabs>
          <w:tab w:val="left" w:pos="1256"/>
        </w:tabs>
        <w:autoSpaceDE w:val="0"/>
        <w:autoSpaceDN w:val="0"/>
        <w:spacing w:before="132" w:line="360" w:lineRule="auto"/>
        <w:ind w:hanging="602"/>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被税务部门列入重大税收违法案件当事人名单；</w:t>
      </w:r>
    </w:p>
    <w:p w14:paraId="6E0BFC32">
      <w:pPr>
        <w:numPr>
          <w:ilvl w:val="0"/>
          <w:numId w:val="4"/>
        </w:numPr>
        <w:tabs>
          <w:tab w:val="left" w:pos="1256"/>
        </w:tabs>
        <w:autoSpaceDE w:val="0"/>
        <w:autoSpaceDN w:val="0"/>
        <w:spacing w:before="132" w:line="360" w:lineRule="auto"/>
        <w:ind w:hanging="602"/>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被政府采购监管部门列入政府采购严重违法失信行为记录名单。本单位对上述声明的真实性负责。如有虚假，将依法承担相应责任。</w:t>
      </w:r>
    </w:p>
    <w:p w14:paraId="3BFA0FEC">
      <w:pPr>
        <w:autoSpaceDE w:val="0"/>
        <w:autoSpaceDN w:val="0"/>
        <w:spacing w:before="5" w:line="360" w:lineRule="auto"/>
        <w:jc w:val="left"/>
        <w:rPr>
          <w:rFonts w:ascii="宋体" w:hAnsi="宋体" w:eastAsia="宋体" w:cs="宋体"/>
          <w:kern w:val="0"/>
          <w:szCs w:val="21"/>
          <w:highlight w:val="none"/>
          <w:lang w:val="zh-CN" w:bidi="zh-CN"/>
        </w:rPr>
      </w:pPr>
    </w:p>
    <w:p w14:paraId="11FFAA7F">
      <w:pPr>
        <w:tabs>
          <w:tab w:val="left" w:pos="6461"/>
          <w:tab w:val="left" w:pos="8556"/>
        </w:tabs>
        <w:autoSpaceDE w:val="0"/>
        <w:autoSpaceDN w:val="0"/>
        <w:spacing w:before="66" w:line="360" w:lineRule="auto"/>
        <w:ind w:left="5021" w:right="327"/>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供应商</w:t>
      </w:r>
      <w:r>
        <w:rPr>
          <w:rFonts w:hint="eastAsia" w:ascii="宋体" w:hAnsi="宋体" w:eastAsia="宋体" w:cs="Times New Roman"/>
          <w:szCs w:val="21"/>
          <w:highlight w:val="none"/>
          <w:lang w:val="en-US" w:eastAsia="zh-CN"/>
        </w:rPr>
        <w:t>盖章</w:t>
      </w:r>
      <w:r>
        <w:rPr>
          <w:rFonts w:ascii="宋体" w:hAnsi="宋体" w:eastAsia="宋体" w:cs="宋体"/>
          <w:kern w:val="0"/>
          <w:szCs w:val="21"/>
          <w:highlight w:val="none"/>
          <w:lang w:val="zh-CN" w:bidi="zh-CN"/>
        </w:rPr>
        <w:t>：</w:t>
      </w:r>
    </w:p>
    <w:p w14:paraId="5C250668">
      <w:pPr>
        <w:tabs>
          <w:tab w:val="left" w:pos="6461"/>
          <w:tab w:val="left" w:pos="8556"/>
        </w:tabs>
        <w:autoSpaceDE w:val="0"/>
        <w:autoSpaceDN w:val="0"/>
        <w:spacing w:before="66" w:line="360" w:lineRule="auto"/>
        <w:ind w:left="5021" w:right="327"/>
        <w:jc w:val="left"/>
        <w:rPr>
          <w:rFonts w:ascii="宋体" w:hAnsi="宋体" w:eastAsia="宋体" w:cs="宋体"/>
          <w:kern w:val="0"/>
          <w:szCs w:val="21"/>
          <w:highlight w:val="none"/>
          <w:lang w:val="zh-CN" w:bidi="zh-CN"/>
        </w:rPr>
      </w:pPr>
    </w:p>
    <w:p w14:paraId="5DBA6314">
      <w:pPr>
        <w:spacing w:line="360" w:lineRule="auto"/>
        <w:rPr>
          <w:rFonts w:ascii="宋体" w:hAnsi="宋体" w:eastAsia="宋体" w:cs="Times New Roman"/>
          <w:szCs w:val="21"/>
          <w:highlight w:val="none"/>
        </w:rPr>
        <w:sectPr>
          <w:pgSz w:w="11910" w:h="16840"/>
          <w:pgMar w:top="1400" w:right="1440" w:bottom="1220" w:left="1580" w:header="877" w:footer="1033" w:gutter="0"/>
          <w:pgNumType w:fmt="decimal"/>
          <w:cols w:space="720" w:num="1"/>
        </w:sectPr>
      </w:pPr>
    </w:p>
    <w:p w14:paraId="60DF0C2D">
      <w:pPr>
        <w:autoSpaceDE w:val="0"/>
        <w:autoSpaceDN w:val="0"/>
        <w:spacing w:before="132" w:line="360" w:lineRule="auto"/>
        <w:ind w:left="1367" w:right="1505"/>
        <w:jc w:val="center"/>
        <w:outlineLvl w:val="0"/>
        <w:rPr>
          <w:rFonts w:ascii="宋体" w:hAnsi="宋体" w:eastAsia="宋体" w:cs="宋体"/>
          <w:b/>
          <w:bCs/>
          <w:kern w:val="0"/>
          <w:szCs w:val="21"/>
          <w:highlight w:val="none"/>
          <w:lang w:val="zh-CN" w:bidi="zh-CN"/>
        </w:rPr>
      </w:pPr>
      <w:bookmarkStart w:id="82" w:name="_Toc10702"/>
      <w:bookmarkStart w:id="83" w:name="_Toc4689"/>
      <w:bookmarkStart w:id="84" w:name="_Toc1747"/>
      <w:bookmarkStart w:id="85" w:name="_Toc19242"/>
      <w:bookmarkStart w:id="86" w:name="_Toc11188"/>
      <w:r>
        <w:rPr>
          <w:rFonts w:hint="eastAsia" w:ascii="宋体" w:hAnsi="宋体" w:eastAsia="宋体" w:cs="宋体"/>
          <w:b/>
          <w:bCs/>
          <w:kern w:val="0"/>
          <w:szCs w:val="21"/>
          <w:highlight w:val="none"/>
          <w:lang w:val="en-US" w:bidi="zh-CN"/>
        </w:rPr>
        <w:t>五</w:t>
      </w:r>
      <w:r>
        <w:rPr>
          <w:rFonts w:ascii="宋体" w:hAnsi="宋体" w:eastAsia="宋体" w:cs="宋体"/>
          <w:b/>
          <w:bCs/>
          <w:kern w:val="0"/>
          <w:szCs w:val="21"/>
          <w:highlight w:val="none"/>
          <w:lang w:val="zh-CN" w:bidi="zh-CN"/>
        </w:rPr>
        <w:t>、授权书</w:t>
      </w:r>
      <w:bookmarkEnd w:id="82"/>
      <w:bookmarkEnd w:id="83"/>
      <w:bookmarkEnd w:id="84"/>
      <w:bookmarkEnd w:id="85"/>
      <w:bookmarkEnd w:id="86"/>
    </w:p>
    <w:p w14:paraId="00B15DA5">
      <w:pPr>
        <w:autoSpaceDE w:val="0"/>
        <w:autoSpaceDN w:val="0"/>
        <w:spacing w:line="360" w:lineRule="auto"/>
        <w:jc w:val="left"/>
        <w:rPr>
          <w:rFonts w:ascii="宋体" w:hAnsi="宋体" w:eastAsia="宋体" w:cs="宋体"/>
          <w:b/>
          <w:kern w:val="0"/>
          <w:szCs w:val="21"/>
          <w:highlight w:val="none"/>
          <w:lang w:val="zh-CN" w:bidi="zh-CN"/>
        </w:rPr>
      </w:pPr>
    </w:p>
    <w:p w14:paraId="68761668">
      <w:pPr>
        <w:autoSpaceDE w:val="0"/>
        <w:autoSpaceDN w:val="0"/>
        <w:spacing w:line="360" w:lineRule="auto"/>
        <w:jc w:val="left"/>
        <w:rPr>
          <w:rFonts w:ascii="宋体" w:hAnsi="宋体" w:eastAsia="宋体" w:cs="宋体"/>
          <w:b/>
          <w:kern w:val="0"/>
          <w:szCs w:val="21"/>
          <w:highlight w:val="none"/>
          <w:lang w:val="zh-CN" w:bidi="zh-CN"/>
        </w:rPr>
      </w:pPr>
    </w:p>
    <w:p w14:paraId="0D8E4AF9">
      <w:pPr>
        <w:spacing w:line="360" w:lineRule="auto"/>
        <w:ind w:firstLine="645"/>
        <w:rPr>
          <w:rFonts w:ascii="宋体" w:hAnsi="宋体" w:eastAsia="宋体" w:cs="Times New Roman"/>
          <w:szCs w:val="21"/>
          <w:highlight w:val="none"/>
        </w:rPr>
      </w:pPr>
      <w:r>
        <w:rPr>
          <w:rFonts w:hint="eastAsia" w:ascii="宋体" w:hAnsi="宋体" w:eastAsia="宋体" w:cs="Times New Roman"/>
          <w:szCs w:val="21"/>
          <w:highlight w:val="none"/>
        </w:rPr>
        <w:t>本授权书声明：</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公司（工厂）（纳税人识别号：</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）的</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（法人代表姓名、职务）代表本公司（工厂）授权本公司（工厂）</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（被授权人的姓名、职务）为本公司（工厂）的合法代理人，参加</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采购项目活动（项目编号</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），全权代表本公司处理</w:t>
      </w:r>
      <w:r>
        <w:rPr>
          <w:rFonts w:hint="eastAsia" w:ascii="宋体" w:hAnsi="宋体" w:eastAsia="宋体" w:cs="Times New Roman"/>
          <w:szCs w:val="21"/>
          <w:highlight w:val="none"/>
          <w:lang w:eastAsia="zh-CN"/>
        </w:rPr>
        <w:t>谈判</w:t>
      </w:r>
      <w:r>
        <w:rPr>
          <w:rFonts w:hint="eastAsia" w:ascii="宋体" w:hAnsi="宋体" w:eastAsia="宋体" w:cs="Times New Roman"/>
          <w:szCs w:val="21"/>
          <w:highlight w:val="none"/>
        </w:rPr>
        <w:t>过程的一切事宜，包括但不限于：</w:t>
      </w:r>
      <w:r>
        <w:rPr>
          <w:rFonts w:hint="eastAsia" w:ascii="宋体" w:hAnsi="宋体" w:eastAsia="宋体" w:cs="Times New Roman"/>
          <w:szCs w:val="21"/>
          <w:highlight w:val="none"/>
          <w:lang w:eastAsia="zh-CN"/>
        </w:rPr>
        <w:t>谈判</w:t>
      </w:r>
      <w:r>
        <w:rPr>
          <w:rFonts w:hint="eastAsia" w:ascii="宋体" w:hAnsi="宋体" w:eastAsia="宋体" w:cs="Times New Roman"/>
          <w:szCs w:val="21"/>
          <w:highlight w:val="none"/>
        </w:rPr>
        <w:t>、签约等。供应商代表在</w:t>
      </w:r>
      <w:r>
        <w:rPr>
          <w:rFonts w:hint="eastAsia" w:ascii="宋体" w:hAnsi="宋体" w:eastAsia="宋体" w:cs="Times New Roman"/>
          <w:szCs w:val="21"/>
          <w:highlight w:val="none"/>
          <w:lang w:eastAsia="zh-CN"/>
        </w:rPr>
        <w:t>谈判</w:t>
      </w:r>
      <w:r>
        <w:rPr>
          <w:rFonts w:hint="eastAsia" w:ascii="宋体" w:hAnsi="宋体" w:eastAsia="宋体" w:cs="Times New Roman"/>
          <w:szCs w:val="21"/>
          <w:highlight w:val="none"/>
        </w:rPr>
        <w:t>过程中所签署的一切文件和处理与之有关的一切事务，本公司均予以认可并对此承担责任。被授权人无转委托权。特此授权。</w:t>
      </w:r>
    </w:p>
    <w:p w14:paraId="2D898041">
      <w:pPr>
        <w:spacing w:line="360" w:lineRule="auto"/>
        <w:ind w:firstLine="645"/>
        <w:rPr>
          <w:rFonts w:ascii="宋体" w:hAnsi="宋体" w:eastAsia="宋体" w:cs="Times New Roman"/>
          <w:szCs w:val="21"/>
          <w:highlight w:val="none"/>
        </w:rPr>
      </w:pPr>
      <w:r>
        <w:rPr>
          <w:rFonts w:hint="eastAsia" w:ascii="宋体" w:hAnsi="宋体" w:eastAsia="宋体" w:cs="Times New Roman"/>
          <w:szCs w:val="21"/>
          <w:highlight w:val="none"/>
        </w:rPr>
        <w:t>本授权书自出具之日起生效。</w:t>
      </w:r>
    </w:p>
    <w:p w14:paraId="58B15968">
      <w:pPr>
        <w:spacing w:line="360" w:lineRule="auto"/>
        <w:ind w:firstLine="645"/>
        <w:rPr>
          <w:rFonts w:ascii="宋体" w:hAnsi="宋体" w:eastAsia="宋体" w:cs="Times New Roman"/>
          <w:szCs w:val="21"/>
          <w:highlight w:val="none"/>
        </w:rPr>
      </w:pPr>
      <w:r>
        <w:rPr>
          <w:rFonts w:hint="eastAsia" w:ascii="宋体" w:hAnsi="宋体" w:eastAsia="宋体" w:cs="Times New Roman"/>
          <w:szCs w:val="21"/>
          <w:highlight w:val="none"/>
        </w:rPr>
        <w:t>特此声明。</w:t>
      </w:r>
    </w:p>
    <w:p w14:paraId="7EE6BF77">
      <w:pPr>
        <w:spacing w:line="360" w:lineRule="auto"/>
        <w:ind w:firstLine="645"/>
        <w:rPr>
          <w:rFonts w:ascii="宋体" w:hAnsi="宋体" w:eastAsia="宋体" w:cs="Times New Roman"/>
          <w:szCs w:val="21"/>
          <w:highlight w:val="none"/>
        </w:rPr>
      </w:pPr>
    </w:p>
    <w:p w14:paraId="66C6E3FA">
      <w:pPr>
        <w:spacing w:line="360" w:lineRule="auto"/>
        <w:ind w:firstLine="645"/>
        <w:rPr>
          <w:rFonts w:ascii="宋体" w:hAnsi="宋体" w:eastAsia="宋体" w:cs="Times New Roman"/>
          <w:szCs w:val="21"/>
          <w:highlight w:val="none"/>
        </w:rPr>
      </w:pPr>
      <w:r>
        <w:rPr>
          <w:rFonts w:hint="eastAsia" w:ascii="宋体" w:hAnsi="宋体" w:eastAsia="宋体" w:cs="Times New Roman"/>
          <w:szCs w:val="21"/>
          <w:highlight w:val="none"/>
        </w:rPr>
        <w:t>法定代表人联系方式：</w:t>
      </w:r>
      <w:r>
        <w:rPr>
          <w:rFonts w:hint="eastAsia" w:ascii="宋体" w:hAnsi="宋体" w:eastAsia="宋体" w:cs="Times New Roman"/>
          <w:szCs w:val="21"/>
          <w:highlight w:val="none"/>
          <w:u w:val="single"/>
        </w:rPr>
        <w:t xml:space="preserve">（手机号码）       </w:t>
      </w:r>
    </w:p>
    <w:p w14:paraId="7CE7C9E9">
      <w:pPr>
        <w:spacing w:line="360" w:lineRule="auto"/>
        <w:ind w:firstLine="645"/>
        <w:rPr>
          <w:rFonts w:ascii="宋体" w:hAnsi="宋体" w:eastAsia="宋体" w:cs="Times New Roman"/>
          <w:szCs w:val="21"/>
          <w:highlight w:val="none"/>
        </w:rPr>
      </w:pPr>
      <w:r>
        <w:rPr>
          <w:rFonts w:hint="eastAsia" w:ascii="宋体" w:hAnsi="宋体" w:eastAsia="宋体" w:cs="Times New Roman"/>
          <w:szCs w:val="21"/>
          <w:highlight w:val="none"/>
        </w:rPr>
        <w:t>授权委托人联系方式：</w:t>
      </w:r>
      <w:r>
        <w:rPr>
          <w:rFonts w:hint="eastAsia" w:ascii="宋体" w:hAnsi="宋体" w:eastAsia="宋体" w:cs="Times New Roman"/>
          <w:szCs w:val="21"/>
          <w:highlight w:val="none"/>
          <w:u w:val="single"/>
        </w:rPr>
        <w:t xml:space="preserve">（手机号码）       </w:t>
      </w:r>
    </w:p>
    <w:p w14:paraId="59CF9875">
      <w:pPr>
        <w:spacing w:line="360" w:lineRule="auto"/>
        <w:ind w:firstLine="645"/>
        <w:rPr>
          <w:rFonts w:ascii="宋体" w:hAnsi="宋体" w:eastAsia="宋体" w:cs="Times New Roman"/>
          <w:szCs w:val="21"/>
          <w:highlight w:val="none"/>
        </w:rPr>
      </w:pPr>
    </w:p>
    <w:p w14:paraId="614B6DD3">
      <w:pPr>
        <w:spacing w:line="360" w:lineRule="auto"/>
        <w:ind w:firstLine="645"/>
        <w:rPr>
          <w:rFonts w:ascii="宋体" w:hAnsi="宋体" w:eastAsia="宋体" w:cs="Times New Roman"/>
          <w:szCs w:val="21"/>
          <w:highlight w:val="none"/>
          <w:u w:val="single"/>
        </w:rPr>
      </w:pPr>
      <w:r>
        <w:rPr>
          <w:rFonts w:hint="eastAsia" w:ascii="宋体" w:hAnsi="宋体" w:eastAsia="宋体" w:cs="Times New Roman"/>
          <w:szCs w:val="21"/>
          <w:highlight w:val="none"/>
        </w:rPr>
        <w:t>法人代表签字或盖章：</w:t>
      </w:r>
      <w:r>
        <w:rPr>
          <w:rFonts w:hint="eastAsia" w:ascii="宋体" w:hAnsi="宋体" w:eastAsia="宋体" w:cs="Times New Roman"/>
          <w:szCs w:val="21"/>
          <w:highlight w:val="none"/>
          <w:u w:val="single"/>
        </w:rPr>
        <w:t xml:space="preserve">                    </w:t>
      </w:r>
    </w:p>
    <w:p w14:paraId="6A8EBC68">
      <w:pPr>
        <w:spacing w:line="360" w:lineRule="auto"/>
        <w:ind w:firstLine="645"/>
        <w:rPr>
          <w:rFonts w:ascii="宋体" w:hAnsi="宋体" w:eastAsia="宋体" w:cs="Times New Roman"/>
          <w:szCs w:val="21"/>
          <w:highlight w:val="none"/>
        </w:rPr>
      </w:pPr>
      <w:r>
        <w:rPr>
          <w:rFonts w:hint="eastAsia" w:ascii="宋体" w:hAnsi="宋体" w:eastAsia="宋体" w:cs="Times New Roman"/>
          <w:szCs w:val="21"/>
          <w:highlight w:val="none"/>
        </w:rPr>
        <w:t>代理人（被授权人）签字或盖章：</w:t>
      </w:r>
      <w:r>
        <w:rPr>
          <w:rFonts w:hint="eastAsia" w:ascii="宋体" w:hAnsi="宋体" w:eastAsia="宋体" w:cs="Times New Roman"/>
          <w:szCs w:val="21"/>
          <w:highlight w:val="none"/>
          <w:u w:val="single"/>
        </w:rPr>
        <w:t xml:space="preserve">              </w:t>
      </w:r>
    </w:p>
    <w:p w14:paraId="5F1CF927">
      <w:pPr>
        <w:spacing w:line="360" w:lineRule="auto"/>
        <w:ind w:firstLine="645"/>
        <w:rPr>
          <w:rFonts w:ascii="宋体" w:hAnsi="宋体" w:eastAsia="宋体" w:cs="Times New Roman"/>
          <w:szCs w:val="21"/>
          <w:highlight w:val="none"/>
        </w:rPr>
      </w:pPr>
      <w:r>
        <w:rPr>
          <w:rFonts w:hint="eastAsia" w:ascii="宋体" w:hAnsi="宋体" w:eastAsia="宋体" w:cs="Times New Roman"/>
          <w:szCs w:val="21"/>
          <w:highlight w:val="none"/>
        </w:rPr>
        <w:t>供应商</w:t>
      </w:r>
      <w:r>
        <w:rPr>
          <w:rFonts w:hint="eastAsia" w:ascii="宋体" w:hAnsi="宋体" w:eastAsia="宋体" w:cs="Times New Roman"/>
          <w:szCs w:val="21"/>
          <w:highlight w:val="none"/>
          <w:lang w:val="en-US" w:eastAsia="zh-CN"/>
        </w:rPr>
        <w:t>盖章</w:t>
      </w:r>
      <w:r>
        <w:rPr>
          <w:rFonts w:hint="eastAsia" w:ascii="宋体" w:hAnsi="宋体" w:eastAsia="宋体" w:cs="Times New Roman"/>
          <w:szCs w:val="21"/>
          <w:highlight w:val="none"/>
        </w:rPr>
        <w:t>：</w:t>
      </w:r>
      <w:r>
        <w:rPr>
          <w:rFonts w:hint="eastAsia" w:ascii="宋体" w:hAnsi="宋体" w:eastAsia="宋体" w:cs="Times New Roman"/>
          <w:szCs w:val="21"/>
          <w:highlight w:val="none"/>
          <w:u w:val="single"/>
        </w:rPr>
        <w:t xml:space="preserve">                       </w:t>
      </w:r>
    </w:p>
    <w:p w14:paraId="1ABF1A89">
      <w:pPr>
        <w:spacing w:line="360" w:lineRule="auto"/>
        <w:ind w:firstLine="645"/>
        <w:rPr>
          <w:rFonts w:ascii="宋体" w:hAnsi="宋体" w:eastAsia="宋体" w:cs="Times New Roman"/>
          <w:szCs w:val="21"/>
          <w:highlight w:val="none"/>
        </w:rPr>
      </w:pPr>
      <w:r>
        <w:rPr>
          <w:rFonts w:hint="eastAsia" w:ascii="宋体" w:hAnsi="宋体" w:eastAsia="宋体" w:cs="Times New Roman"/>
          <w:szCs w:val="21"/>
          <w:highlight w:val="none"/>
        </w:rPr>
        <w:t>授权委托日期：</w:t>
      </w:r>
      <w:r>
        <w:rPr>
          <w:rFonts w:hint="eastAsia" w:ascii="宋体" w:hAnsi="宋体" w:eastAsia="宋体" w:cs="Times New Roman"/>
          <w:szCs w:val="21"/>
          <w:highlight w:val="none"/>
          <w:u w:val="single"/>
        </w:rPr>
        <w:t xml:space="preserve">                 </w:t>
      </w:r>
    </w:p>
    <w:p w14:paraId="5A093B52">
      <w:pPr>
        <w:autoSpaceDE w:val="0"/>
        <w:autoSpaceDN w:val="0"/>
        <w:spacing w:line="360" w:lineRule="auto"/>
        <w:jc w:val="left"/>
        <w:rPr>
          <w:rFonts w:ascii="宋体" w:hAnsi="宋体" w:eastAsia="宋体" w:cs="宋体"/>
          <w:kern w:val="0"/>
          <w:szCs w:val="21"/>
          <w:highlight w:val="none"/>
          <w:lang w:bidi="zh-CN"/>
        </w:rPr>
      </w:pPr>
    </w:p>
    <w:p w14:paraId="6DAA41BD">
      <w:pPr>
        <w:autoSpaceDE w:val="0"/>
        <w:autoSpaceDN w:val="0"/>
        <w:spacing w:before="207" w:line="360" w:lineRule="auto"/>
        <w:ind w:left="220"/>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注：</w:t>
      </w:r>
    </w:p>
    <w:p w14:paraId="763BA183">
      <w:pPr>
        <w:numPr>
          <w:ilvl w:val="0"/>
          <w:numId w:val="5"/>
        </w:numPr>
        <w:tabs>
          <w:tab w:val="left" w:pos="896"/>
        </w:tabs>
        <w:autoSpaceDE w:val="0"/>
        <w:autoSpaceDN w:val="0"/>
        <w:spacing w:before="161" w:line="360" w:lineRule="auto"/>
        <w:ind w:hanging="242"/>
        <w:jc w:val="left"/>
        <w:rPr>
          <w:rFonts w:ascii="宋体" w:hAnsi="宋体" w:eastAsia="宋体" w:cs="宋体"/>
          <w:kern w:val="0"/>
          <w:szCs w:val="21"/>
          <w:highlight w:val="none"/>
          <w:lang w:val="zh-CN" w:bidi="zh-CN"/>
        </w:rPr>
      </w:pPr>
      <w:r>
        <w:rPr>
          <w:rFonts w:ascii="宋体" w:hAnsi="宋体" w:eastAsia="宋体" w:cs="宋体"/>
          <w:kern w:val="0"/>
          <w:szCs w:val="21"/>
          <w:highlight w:val="none"/>
          <w:lang w:val="zh-CN" w:bidi="zh-CN"/>
        </w:rPr>
        <w:t>本项目只允许有唯一的供应商授权代表，提供身份证明扫描件；</w:t>
      </w:r>
    </w:p>
    <w:p w14:paraId="7B8EBEF8">
      <w:pPr>
        <w:numPr>
          <w:ilvl w:val="0"/>
          <w:numId w:val="5"/>
        </w:numPr>
        <w:tabs>
          <w:tab w:val="left" w:pos="896"/>
        </w:tabs>
        <w:autoSpaceDE w:val="0"/>
        <w:autoSpaceDN w:val="0"/>
        <w:spacing w:before="161" w:line="360" w:lineRule="auto"/>
        <w:ind w:hanging="242"/>
        <w:jc w:val="left"/>
        <w:rPr>
          <w:rFonts w:ascii="宋体" w:hAnsi="宋体" w:eastAsia="宋体" w:cs="Times New Roman"/>
          <w:szCs w:val="21"/>
          <w:highlight w:val="none"/>
        </w:rPr>
        <w:sectPr>
          <w:pgSz w:w="11910" w:h="16840"/>
          <w:pgMar w:top="1400" w:right="1440" w:bottom="1220" w:left="1580" w:header="877" w:footer="1033" w:gutter="0"/>
          <w:pgNumType w:fmt="decimal"/>
          <w:cols w:space="720" w:num="1"/>
        </w:sectPr>
      </w:pPr>
      <w:r>
        <w:rPr>
          <w:rFonts w:ascii="宋体" w:hAnsi="宋体" w:eastAsia="宋体" w:cs="宋体"/>
          <w:kern w:val="0"/>
          <w:szCs w:val="21"/>
          <w:highlight w:val="none"/>
          <w:lang w:val="zh-CN" w:bidi="zh-CN"/>
        </w:rPr>
        <w:t>法定代表人参加</w:t>
      </w:r>
      <w:r>
        <w:rPr>
          <w:rFonts w:hint="eastAsia" w:ascii="宋体" w:hAnsi="宋体" w:eastAsia="宋体" w:cs="宋体"/>
          <w:kern w:val="0"/>
          <w:szCs w:val="21"/>
          <w:highlight w:val="none"/>
          <w:lang w:val="zh-CN" w:bidi="zh-CN"/>
        </w:rPr>
        <w:t>谈判</w:t>
      </w:r>
      <w:r>
        <w:rPr>
          <w:rFonts w:ascii="宋体" w:hAnsi="宋体" w:eastAsia="宋体" w:cs="宋体"/>
          <w:kern w:val="0"/>
          <w:szCs w:val="21"/>
          <w:highlight w:val="none"/>
          <w:lang w:val="zh-CN" w:bidi="zh-CN"/>
        </w:rPr>
        <w:t>的无需提供授权书，提供身份证明扫描件</w:t>
      </w:r>
      <w:r>
        <w:rPr>
          <w:rFonts w:hint="eastAsia" w:ascii="宋体" w:hAnsi="宋体" w:eastAsia="宋体" w:cs="宋体"/>
          <w:kern w:val="0"/>
          <w:szCs w:val="21"/>
          <w:highlight w:val="none"/>
          <w:lang w:val="zh-CN" w:bidi="zh-CN"/>
        </w:rPr>
        <w:t>。</w:t>
      </w:r>
    </w:p>
    <w:p w14:paraId="2FC4C725">
      <w:pPr>
        <w:autoSpaceDE w:val="0"/>
        <w:autoSpaceDN w:val="0"/>
        <w:spacing w:before="132" w:line="360" w:lineRule="auto"/>
        <w:ind w:left="1367" w:right="1505"/>
        <w:jc w:val="center"/>
        <w:outlineLvl w:val="0"/>
        <w:rPr>
          <w:rFonts w:ascii="宋体" w:hAnsi="宋体" w:eastAsia="宋体" w:cs="宋体"/>
          <w:b/>
          <w:bCs/>
          <w:kern w:val="0"/>
          <w:szCs w:val="21"/>
          <w:highlight w:val="none"/>
          <w:lang w:val="zh-CN" w:bidi="zh-CN"/>
        </w:rPr>
      </w:pPr>
      <w:bookmarkStart w:id="87" w:name="_Toc14092"/>
      <w:bookmarkStart w:id="88" w:name="_Toc23986"/>
      <w:r>
        <w:rPr>
          <w:rFonts w:ascii="宋体" w:hAnsi="宋体" w:eastAsia="宋体" w:cs="宋体"/>
          <w:b/>
          <w:bCs/>
          <w:kern w:val="0"/>
          <w:szCs w:val="21"/>
          <w:highlight w:val="none"/>
          <w:lang w:val="zh-CN" w:bidi="zh-CN"/>
        </w:rPr>
        <w:t>六、商务响应表</w:t>
      </w:r>
      <w:bookmarkEnd w:id="87"/>
      <w:bookmarkEnd w:id="88"/>
    </w:p>
    <w:p w14:paraId="32813C26">
      <w:pPr>
        <w:pStyle w:val="8"/>
        <w:spacing w:line="360" w:lineRule="auto"/>
        <w:rPr>
          <w:b/>
          <w:sz w:val="21"/>
          <w:szCs w:val="21"/>
          <w:highlight w:val="none"/>
        </w:rPr>
      </w:pPr>
    </w:p>
    <w:p w14:paraId="5E226A5D">
      <w:pPr>
        <w:pStyle w:val="8"/>
        <w:spacing w:line="360" w:lineRule="auto"/>
        <w:rPr>
          <w:b/>
          <w:sz w:val="21"/>
          <w:szCs w:val="21"/>
          <w:highlight w:val="none"/>
        </w:rPr>
      </w:pPr>
    </w:p>
    <w:tbl>
      <w:tblPr>
        <w:tblStyle w:val="22"/>
        <w:tblW w:w="46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1994"/>
        <w:gridCol w:w="2598"/>
        <w:gridCol w:w="2678"/>
        <w:gridCol w:w="842"/>
      </w:tblGrid>
      <w:tr w14:paraId="2775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424" w:type="pct"/>
            <w:vAlign w:val="center"/>
          </w:tcPr>
          <w:p w14:paraId="55399144">
            <w:pPr>
              <w:pStyle w:val="11"/>
              <w:jc w:val="center"/>
              <w:rPr>
                <w:rFonts w:cs="Wingdings" w:asciiTheme="minorEastAsia" w:hAnsiTheme="minorEastAsia"/>
                <w:b/>
                <w:sz w:val="21"/>
                <w:szCs w:val="21"/>
                <w:highlight w:val="none"/>
              </w:rPr>
            </w:pPr>
            <w:r>
              <w:rPr>
                <w:rFonts w:hint="eastAsia" w:cs="Wingdings" w:asciiTheme="minorEastAsia" w:hAnsiTheme="minorEastAsia"/>
                <w:b/>
                <w:sz w:val="21"/>
                <w:szCs w:val="21"/>
                <w:highlight w:val="none"/>
              </w:rPr>
              <w:t>序号</w:t>
            </w:r>
          </w:p>
        </w:tc>
        <w:tc>
          <w:tcPr>
            <w:tcW w:w="1124" w:type="pct"/>
            <w:vAlign w:val="center"/>
          </w:tcPr>
          <w:p w14:paraId="655EC1FE">
            <w:pPr>
              <w:pStyle w:val="11"/>
              <w:jc w:val="center"/>
              <w:rPr>
                <w:rFonts w:cs="Wingdings" w:asciiTheme="minorEastAsia" w:hAnsiTheme="minorEastAsia"/>
                <w:b/>
                <w:sz w:val="21"/>
                <w:szCs w:val="21"/>
                <w:highlight w:val="none"/>
              </w:rPr>
            </w:pPr>
            <w:r>
              <w:rPr>
                <w:rFonts w:hint="eastAsia" w:asciiTheme="minorEastAsia" w:hAnsiTheme="minorEastAsia"/>
                <w:b/>
                <w:bCs/>
                <w:sz w:val="21"/>
                <w:szCs w:val="21"/>
                <w:highlight w:val="none"/>
              </w:rPr>
              <w:t>商务条款</w:t>
            </w:r>
          </w:p>
        </w:tc>
        <w:tc>
          <w:tcPr>
            <w:tcW w:w="1465" w:type="pct"/>
            <w:vAlign w:val="center"/>
          </w:tcPr>
          <w:p w14:paraId="4F589382">
            <w:pPr>
              <w:pStyle w:val="11"/>
              <w:jc w:val="center"/>
              <w:rPr>
                <w:rFonts w:cs="Wingdings" w:asciiTheme="minorEastAsia" w:hAnsiTheme="minorEastAsia"/>
                <w:b/>
                <w:sz w:val="21"/>
                <w:szCs w:val="21"/>
                <w:highlight w:val="none"/>
              </w:rPr>
            </w:pPr>
            <w:r>
              <w:rPr>
                <w:rFonts w:hint="eastAsia" w:cs="Wingdings" w:asciiTheme="minorEastAsia" w:hAnsiTheme="minorEastAsia"/>
                <w:b/>
                <w:sz w:val="21"/>
                <w:szCs w:val="21"/>
                <w:highlight w:val="none"/>
                <w:lang w:val="en-US" w:eastAsia="zh-CN"/>
              </w:rPr>
              <w:t>谈判</w:t>
            </w:r>
            <w:r>
              <w:rPr>
                <w:rFonts w:hint="eastAsia" w:cs="Wingdings" w:asciiTheme="minorEastAsia" w:hAnsiTheme="minorEastAsia"/>
                <w:b/>
                <w:sz w:val="21"/>
                <w:szCs w:val="21"/>
                <w:highlight w:val="none"/>
              </w:rPr>
              <w:t>文件要求</w:t>
            </w:r>
          </w:p>
        </w:tc>
        <w:tc>
          <w:tcPr>
            <w:tcW w:w="1510" w:type="pct"/>
            <w:vAlign w:val="center"/>
          </w:tcPr>
          <w:p w14:paraId="12605C9A">
            <w:pPr>
              <w:pStyle w:val="11"/>
              <w:jc w:val="center"/>
              <w:rPr>
                <w:rFonts w:cs="Wingdings" w:asciiTheme="minorEastAsia" w:hAnsiTheme="minorEastAsia"/>
                <w:b/>
                <w:sz w:val="21"/>
                <w:szCs w:val="21"/>
                <w:highlight w:val="none"/>
              </w:rPr>
            </w:pPr>
            <w:r>
              <w:rPr>
                <w:rFonts w:hint="eastAsia" w:cs="Wingdings" w:asciiTheme="minorEastAsia" w:hAnsiTheme="minorEastAsia"/>
                <w:b/>
                <w:sz w:val="21"/>
                <w:szCs w:val="21"/>
                <w:highlight w:val="none"/>
              </w:rPr>
              <w:t>供应商承诺</w:t>
            </w:r>
          </w:p>
        </w:tc>
        <w:tc>
          <w:tcPr>
            <w:tcW w:w="475" w:type="pct"/>
            <w:vAlign w:val="center"/>
          </w:tcPr>
          <w:p w14:paraId="7BDC15F7">
            <w:pPr>
              <w:pStyle w:val="11"/>
              <w:jc w:val="center"/>
              <w:rPr>
                <w:rFonts w:cs="Wingdings" w:asciiTheme="minorEastAsia" w:hAnsiTheme="minorEastAsia"/>
                <w:b/>
                <w:sz w:val="21"/>
                <w:szCs w:val="21"/>
                <w:highlight w:val="none"/>
              </w:rPr>
            </w:pPr>
            <w:r>
              <w:rPr>
                <w:rFonts w:hint="eastAsia" w:cs="Wingdings" w:asciiTheme="minorEastAsia" w:hAnsiTheme="minorEastAsia"/>
                <w:b/>
                <w:sz w:val="21"/>
                <w:szCs w:val="21"/>
                <w:highlight w:val="none"/>
              </w:rPr>
              <w:t>偏离说明</w:t>
            </w:r>
          </w:p>
        </w:tc>
      </w:tr>
      <w:tr w14:paraId="6811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424" w:type="pct"/>
            <w:vAlign w:val="center"/>
          </w:tcPr>
          <w:p w14:paraId="265F90B9">
            <w:pPr>
              <w:jc w:val="center"/>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1</w:t>
            </w:r>
          </w:p>
        </w:tc>
        <w:tc>
          <w:tcPr>
            <w:tcW w:w="1124" w:type="pct"/>
            <w:vAlign w:val="center"/>
          </w:tcPr>
          <w:p w14:paraId="75E643E3">
            <w:pPr>
              <w:jc w:val="center"/>
              <w:rPr>
                <w:rFonts w:ascii="宋体" w:hAnsi="宋体" w:eastAsia="宋体"/>
                <w:sz w:val="21"/>
                <w:szCs w:val="21"/>
                <w:highlight w:val="none"/>
              </w:rPr>
            </w:pPr>
            <w:r>
              <w:rPr>
                <w:rFonts w:asciiTheme="minorEastAsia" w:hAnsiTheme="minorEastAsia" w:eastAsiaTheme="minorEastAsia"/>
                <w:sz w:val="21"/>
                <w:szCs w:val="21"/>
                <w:highlight w:val="none"/>
              </w:rPr>
              <w:t>付款方式</w:t>
            </w:r>
          </w:p>
        </w:tc>
        <w:tc>
          <w:tcPr>
            <w:tcW w:w="1465" w:type="pct"/>
            <w:vAlign w:val="center"/>
          </w:tcPr>
          <w:p w14:paraId="5DD7CED2">
            <w:pPr>
              <w:jc w:val="center"/>
              <w:rPr>
                <w:rFonts w:asciiTheme="minorEastAsia" w:hAnsiTheme="minorEastAsia" w:eastAsiaTheme="minorEastAsia"/>
                <w:sz w:val="21"/>
                <w:szCs w:val="21"/>
                <w:highlight w:val="none"/>
              </w:rPr>
            </w:pPr>
          </w:p>
        </w:tc>
        <w:tc>
          <w:tcPr>
            <w:tcW w:w="1510" w:type="pct"/>
            <w:vAlign w:val="center"/>
          </w:tcPr>
          <w:p w14:paraId="4BFD6E83">
            <w:pPr>
              <w:jc w:val="center"/>
              <w:rPr>
                <w:rFonts w:asciiTheme="minorEastAsia" w:hAnsiTheme="minorEastAsia" w:eastAsiaTheme="minorEastAsia"/>
                <w:sz w:val="21"/>
                <w:szCs w:val="21"/>
                <w:highlight w:val="none"/>
              </w:rPr>
            </w:pPr>
          </w:p>
        </w:tc>
        <w:tc>
          <w:tcPr>
            <w:tcW w:w="475" w:type="pct"/>
            <w:vAlign w:val="center"/>
          </w:tcPr>
          <w:p w14:paraId="33DCF40A">
            <w:pPr>
              <w:jc w:val="center"/>
              <w:rPr>
                <w:rFonts w:asciiTheme="minorEastAsia" w:hAnsiTheme="minorEastAsia" w:eastAsiaTheme="minorEastAsia"/>
                <w:sz w:val="21"/>
                <w:szCs w:val="21"/>
                <w:highlight w:val="none"/>
              </w:rPr>
            </w:pPr>
          </w:p>
        </w:tc>
      </w:tr>
      <w:tr w14:paraId="4C73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424" w:type="pct"/>
            <w:vAlign w:val="center"/>
          </w:tcPr>
          <w:p w14:paraId="26973CAE">
            <w:pPr>
              <w:jc w:val="center"/>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w:t>
            </w:r>
          </w:p>
        </w:tc>
        <w:tc>
          <w:tcPr>
            <w:tcW w:w="1124" w:type="pct"/>
            <w:vAlign w:val="center"/>
          </w:tcPr>
          <w:p w14:paraId="23834FBC">
            <w:pPr>
              <w:jc w:val="center"/>
              <w:rPr>
                <w:rFonts w:ascii="宋体" w:hAnsi="宋体" w:eastAsia="宋体"/>
                <w:sz w:val="21"/>
                <w:szCs w:val="21"/>
                <w:highlight w:val="none"/>
              </w:rPr>
            </w:pPr>
            <w:r>
              <w:rPr>
                <w:rFonts w:hint="eastAsia"/>
                <w:sz w:val="21"/>
                <w:szCs w:val="21"/>
                <w:highlight w:val="none"/>
                <w:lang w:val="en-US" w:eastAsia="zh-CN"/>
              </w:rPr>
              <w:t>供货</w:t>
            </w:r>
            <w:r>
              <w:rPr>
                <w:rFonts w:hint="eastAsia" w:ascii="宋体" w:hAnsi="宋体" w:eastAsia="宋体"/>
                <w:sz w:val="21"/>
                <w:szCs w:val="21"/>
                <w:highlight w:val="none"/>
              </w:rPr>
              <w:t>地点</w:t>
            </w:r>
          </w:p>
        </w:tc>
        <w:tc>
          <w:tcPr>
            <w:tcW w:w="1465" w:type="pct"/>
            <w:vAlign w:val="center"/>
          </w:tcPr>
          <w:p w14:paraId="16937314">
            <w:pPr>
              <w:jc w:val="center"/>
              <w:rPr>
                <w:rFonts w:asciiTheme="minorEastAsia" w:hAnsiTheme="minorEastAsia" w:eastAsiaTheme="minorEastAsia"/>
                <w:sz w:val="21"/>
                <w:szCs w:val="21"/>
                <w:highlight w:val="none"/>
              </w:rPr>
            </w:pPr>
          </w:p>
        </w:tc>
        <w:tc>
          <w:tcPr>
            <w:tcW w:w="1510" w:type="pct"/>
            <w:vAlign w:val="center"/>
          </w:tcPr>
          <w:p w14:paraId="29041692">
            <w:pPr>
              <w:jc w:val="center"/>
              <w:rPr>
                <w:rFonts w:asciiTheme="minorEastAsia" w:hAnsiTheme="minorEastAsia" w:eastAsiaTheme="minorEastAsia"/>
                <w:sz w:val="21"/>
                <w:szCs w:val="21"/>
                <w:highlight w:val="none"/>
              </w:rPr>
            </w:pPr>
          </w:p>
        </w:tc>
        <w:tc>
          <w:tcPr>
            <w:tcW w:w="475" w:type="pct"/>
            <w:vAlign w:val="center"/>
          </w:tcPr>
          <w:p w14:paraId="7867E7F0">
            <w:pPr>
              <w:jc w:val="center"/>
              <w:rPr>
                <w:rFonts w:asciiTheme="minorEastAsia" w:hAnsiTheme="minorEastAsia" w:eastAsiaTheme="minorEastAsia"/>
                <w:sz w:val="21"/>
                <w:szCs w:val="21"/>
                <w:highlight w:val="none"/>
              </w:rPr>
            </w:pPr>
          </w:p>
        </w:tc>
      </w:tr>
      <w:tr w14:paraId="27804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424" w:type="pct"/>
            <w:vAlign w:val="center"/>
          </w:tcPr>
          <w:p w14:paraId="102D5A47">
            <w:pPr>
              <w:jc w:val="center"/>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w:t>
            </w:r>
          </w:p>
        </w:tc>
        <w:tc>
          <w:tcPr>
            <w:tcW w:w="1124" w:type="pct"/>
            <w:vAlign w:val="center"/>
          </w:tcPr>
          <w:p w14:paraId="03BDB011">
            <w:pPr>
              <w:jc w:val="center"/>
              <w:rPr>
                <w:rFonts w:ascii="宋体" w:hAnsi="宋体" w:eastAsia="宋体"/>
                <w:sz w:val="21"/>
                <w:szCs w:val="21"/>
                <w:highlight w:val="none"/>
              </w:rPr>
            </w:pPr>
            <w:r>
              <w:rPr>
                <w:rFonts w:hint="eastAsia"/>
                <w:sz w:val="21"/>
                <w:szCs w:val="21"/>
                <w:highlight w:val="none"/>
                <w:lang w:val="en-US" w:eastAsia="zh-CN"/>
              </w:rPr>
              <w:t>供货</w:t>
            </w:r>
            <w:r>
              <w:rPr>
                <w:rFonts w:hint="eastAsia" w:ascii="宋体" w:hAnsi="宋体" w:eastAsia="宋体"/>
                <w:sz w:val="21"/>
                <w:szCs w:val="21"/>
                <w:highlight w:val="none"/>
              </w:rPr>
              <w:t>期限</w:t>
            </w:r>
          </w:p>
        </w:tc>
        <w:tc>
          <w:tcPr>
            <w:tcW w:w="1465" w:type="pct"/>
            <w:vAlign w:val="center"/>
          </w:tcPr>
          <w:p w14:paraId="64C354B4">
            <w:pPr>
              <w:jc w:val="center"/>
              <w:rPr>
                <w:rFonts w:asciiTheme="minorEastAsia" w:hAnsiTheme="minorEastAsia" w:eastAsiaTheme="minorEastAsia"/>
                <w:sz w:val="21"/>
                <w:szCs w:val="21"/>
                <w:highlight w:val="none"/>
              </w:rPr>
            </w:pPr>
          </w:p>
        </w:tc>
        <w:tc>
          <w:tcPr>
            <w:tcW w:w="1510" w:type="pct"/>
            <w:vAlign w:val="center"/>
          </w:tcPr>
          <w:p w14:paraId="562DC32D">
            <w:pPr>
              <w:pStyle w:val="52"/>
              <w:jc w:val="center"/>
              <w:rPr>
                <w:rFonts w:asciiTheme="minorEastAsia" w:hAnsiTheme="minorEastAsia" w:eastAsiaTheme="minorEastAsia"/>
                <w:sz w:val="21"/>
                <w:szCs w:val="21"/>
                <w:highlight w:val="none"/>
              </w:rPr>
            </w:pPr>
          </w:p>
        </w:tc>
        <w:tc>
          <w:tcPr>
            <w:tcW w:w="475" w:type="pct"/>
            <w:vAlign w:val="center"/>
          </w:tcPr>
          <w:p w14:paraId="5E184283">
            <w:pPr>
              <w:jc w:val="center"/>
              <w:rPr>
                <w:rFonts w:asciiTheme="minorEastAsia" w:hAnsiTheme="minorEastAsia" w:eastAsiaTheme="minorEastAsia"/>
                <w:sz w:val="21"/>
                <w:szCs w:val="21"/>
                <w:highlight w:val="none"/>
              </w:rPr>
            </w:pPr>
          </w:p>
        </w:tc>
      </w:tr>
      <w:tr w14:paraId="3BC4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424" w:type="pct"/>
            <w:vAlign w:val="center"/>
          </w:tcPr>
          <w:p w14:paraId="00AC8959">
            <w:pPr>
              <w:jc w:val="center"/>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p>
        </w:tc>
        <w:tc>
          <w:tcPr>
            <w:tcW w:w="1124" w:type="pct"/>
            <w:vAlign w:val="center"/>
          </w:tcPr>
          <w:p w14:paraId="5AF29AA5">
            <w:pPr>
              <w:jc w:val="center"/>
              <w:rPr>
                <w:rFonts w:ascii="宋体" w:hAnsi="宋体" w:eastAsia="宋体"/>
                <w:sz w:val="21"/>
                <w:szCs w:val="21"/>
                <w:highlight w:val="none"/>
              </w:rPr>
            </w:pPr>
            <w:r>
              <w:rPr>
                <w:rFonts w:hint="eastAsia"/>
                <w:sz w:val="21"/>
                <w:szCs w:val="21"/>
                <w:highlight w:val="none"/>
                <w:lang w:val="en-US" w:eastAsia="en-US"/>
              </w:rPr>
              <w:t>免费质保期</w:t>
            </w:r>
          </w:p>
        </w:tc>
        <w:tc>
          <w:tcPr>
            <w:tcW w:w="1465" w:type="pct"/>
            <w:vAlign w:val="center"/>
          </w:tcPr>
          <w:p w14:paraId="3BF7D20E">
            <w:pPr>
              <w:jc w:val="center"/>
              <w:rPr>
                <w:rFonts w:asciiTheme="minorEastAsia" w:hAnsiTheme="minorEastAsia" w:eastAsiaTheme="minorEastAsia"/>
                <w:sz w:val="21"/>
                <w:szCs w:val="21"/>
                <w:highlight w:val="none"/>
              </w:rPr>
            </w:pPr>
          </w:p>
        </w:tc>
        <w:tc>
          <w:tcPr>
            <w:tcW w:w="1510" w:type="pct"/>
            <w:vAlign w:val="center"/>
          </w:tcPr>
          <w:p w14:paraId="4E2F5DC7">
            <w:pPr>
              <w:jc w:val="center"/>
              <w:rPr>
                <w:rFonts w:asciiTheme="minorEastAsia" w:hAnsiTheme="minorEastAsia" w:eastAsiaTheme="minorEastAsia"/>
                <w:sz w:val="21"/>
                <w:szCs w:val="21"/>
                <w:highlight w:val="none"/>
              </w:rPr>
            </w:pPr>
          </w:p>
        </w:tc>
        <w:tc>
          <w:tcPr>
            <w:tcW w:w="475" w:type="pct"/>
            <w:vAlign w:val="center"/>
          </w:tcPr>
          <w:p w14:paraId="3AC6ED54">
            <w:pPr>
              <w:jc w:val="center"/>
              <w:rPr>
                <w:rFonts w:asciiTheme="minorEastAsia" w:hAnsiTheme="minorEastAsia" w:eastAsiaTheme="minorEastAsia"/>
                <w:sz w:val="21"/>
                <w:szCs w:val="21"/>
                <w:highlight w:val="none"/>
              </w:rPr>
            </w:pPr>
          </w:p>
        </w:tc>
      </w:tr>
      <w:tr w14:paraId="75E2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424" w:type="pct"/>
            <w:vAlign w:val="center"/>
          </w:tcPr>
          <w:p w14:paraId="21752733">
            <w:pPr>
              <w:jc w:val="center"/>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w:t>
            </w:r>
          </w:p>
        </w:tc>
        <w:tc>
          <w:tcPr>
            <w:tcW w:w="1124" w:type="pct"/>
            <w:vAlign w:val="center"/>
          </w:tcPr>
          <w:p w14:paraId="2F44FF59">
            <w:pPr>
              <w:jc w:val="center"/>
              <w:rPr>
                <w:rFonts w:ascii="宋体" w:hAnsi="宋体" w:eastAsia="宋体"/>
                <w:sz w:val="21"/>
                <w:szCs w:val="21"/>
                <w:highlight w:val="none"/>
              </w:rPr>
            </w:pPr>
          </w:p>
        </w:tc>
        <w:tc>
          <w:tcPr>
            <w:tcW w:w="1465" w:type="pct"/>
            <w:vAlign w:val="center"/>
          </w:tcPr>
          <w:p w14:paraId="76CADC96">
            <w:pPr>
              <w:jc w:val="center"/>
              <w:rPr>
                <w:rFonts w:asciiTheme="minorEastAsia" w:hAnsiTheme="minorEastAsia" w:eastAsiaTheme="minorEastAsia"/>
                <w:sz w:val="21"/>
                <w:szCs w:val="21"/>
                <w:highlight w:val="none"/>
              </w:rPr>
            </w:pPr>
          </w:p>
        </w:tc>
        <w:tc>
          <w:tcPr>
            <w:tcW w:w="1510" w:type="pct"/>
            <w:vAlign w:val="center"/>
          </w:tcPr>
          <w:p w14:paraId="3607FF11">
            <w:pPr>
              <w:jc w:val="center"/>
              <w:rPr>
                <w:rFonts w:asciiTheme="minorEastAsia" w:hAnsiTheme="minorEastAsia" w:eastAsiaTheme="minorEastAsia"/>
                <w:sz w:val="21"/>
                <w:szCs w:val="21"/>
                <w:highlight w:val="none"/>
              </w:rPr>
            </w:pPr>
          </w:p>
        </w:tc>
        <w:tc>
          <w:tcPr>
            <w:tcW w:w="475" w:type="pct"/>
            <w:vAlign w:val="center"/>
          </w:tcPr>
          <w:p w14:paraId="6621597F">
            <w:pPr>
              <w:jc w:val="center"/>
              <w:rPr>
                <w:rFonts w:asciiTheme="minorEastAsia" w:hAnsiTheme="minorEastAsia" w:eastAsiaTheme="minorEastAsia"/>
                <w:sz w:val="21"/>
                <w:szCs w:val="21"/>
                <w:highlight w:val="none"/>
              </w:rPr>
            </w:pPr>
          </w:p>
        </w:tc>
      </w:tr>
    </w:tbl>
    <w:p w14:paraId="6776CB70">
      <w:pPr>
        <w:pStyle w:val="8"/>
        <w:spacing w:before="11" w:line="360" w:lineRule="auto"/>
        <w:rPr>
          <w:b/>
          <w:sz w:val="21"/>
          <w:szCs w:val="21"/>
          <w:highlight w:val="none"/>
        </w:rPr>
      </w:pPr>
    </w:p>
    <w:p w14:paraId="432DB60C">
      <w:pPr>
        <w:pStyle w:val="8"/>
        <w:spacing w:line="360" w:lineRule="auto"/>
        <w:rPr>
          <w:b/>
          <w:sz w:val="21"/>
          <w:szCs w:val="21"/>
          <w:highlight w:val="none"/>
        </w:rPr>
      </w:pPr>
    </w:p>
    <w:p w14:paraId="115C1034">
      <w:pPr>
        <w:keepNext w:val="0"/>
        <w:keepLines w:val="0"/>
        <w:pageBreakBefore w:val="0"/>
        <w:widowControl w:val="0"/>
        <w:kinsoku/>
        <w:wordWrap/>
        <w:overflowPunct/>
        <w:topLinePunct w:val="0"/>
        <w:autoSpaceDE w:val="0"/>
        <w:autoSpaceDN w:val="0"/>
        <w:bidi w:val="0"/>
        <w:adjustRightInd/>
        <w:snapToGrid/>
        <w:spacing w:line="360" w:lineRule="auto"/>
        <w:ind w:firstLine="5670" w:firstLineChars="2700"/>
        <w:textAlignment w:val="auto"/>
        <w:rPr>
          <w:rFonts w:ascii="宋体" w:hAnsi="宋体" w:eastAsia="宋体"/>
          <w:sz w:val="21"/>
          <w:szCs w:val="21"/>
          <w:highlight w:val="none"/>
          <w:u w:val="single"/>
        </w:rPr>
      </w:pPr>
      <w:r>
        <w:rPr>
          <w:rFonts w:hint="eastAsia" w:ascii="宋体" w:hAnsi="宋体" w:eastAsia="宋体"/>
          <w:sz w:val="21"/>
          <w:szCs w:val="21"/>
          <w:highlight w:val="none"/>
        </w:rPr>
        <w:t>供应商公章：</w:t>
      </w:r>
      <w:r>
        <w:rPr>
          <w:rFonts w:hint="eastAsia" w:ascii="宋体" w:hAnsi="宋体" w:eastAsia="宋体"/>
          <w:sz w:val="21"/>
          <w:szCs w:val="21"/>
          <w:highlight w:val="none"/>
          <w:u w:val="single"/>
        </w:rPr>
        <w:t xml:space="preserve">     </w:t>
      </w:r>
      <w:r>
        <w:rPr>
          <w:rFonts w:ascii="宋体" w:hAnsi="宋体" w:eastAsia="宋体"/>
          <w:sz w:val="21"/>
          <w:szCs w:val="21"/>
          <w:highlight w:val="none"/>
          <w:u w:val="single"/>
        </w:rPr>
        <w:t xml:space="preserve">    </w:t>
      </w:r>
      <w:r>
        <w:rPr>
          <w:rFonts w:hint="eastAsia" w:ascii="宋体" w:hAnsi="宋体" w:eastAsia="宋体"/>
          <w:sz w:val="21"/>
          <w:szCs w:val="21"/>
          <w:highlight w:val="none"/>
          <w:u w:val="single"/>
        </w:rPr>
        <w:t xml:space="preserve">    </w:t>
      </w:r>
    </w:p>
    <w:p w14:paraId="4449EB14">
      <w:pPr>
        <w:keepNext w:val="0"/>
        <w:keepLines w:val="0"/>
        <w:pageBreakBefore w:val="0"/>
        <w:widowControl w:val="0"/>
        <w:tabs>
          <w:tab w:val="left" w:pos="630"/>
        </w:tabs>
        <w:kinsoku/>
        <w:wordWrap/>
        <w:overflowPunct/>
        <w:topLinePunct w:val="0"/>
        <w:autoSpaceDE w:val="0"/>
        <w:autoSpaceDN w:val="0"/>
        <w:bidi w:val="0"/>
        <w:adjustRightInd/>
        <w:snapToGrid/>
        <w:spacing w:line="360" w:lineRule="auto"/>
        <w:ind w:firstLine="5670" w:firstLineChars="2700"/>
        <w:textAlignment w:val="auto"/>
        <w:rPr>
          <w:sz w:val="21"/>
          <w:szCs w:val="21"/>
          <w:highlight w:val="none"/>
        </w:rPr>
        <w:sectPr>
          <w:pgSz w:w="11910" w:h="16840"/>
          <w:pgMar w:top="1400" w:right="1140" w:bottom="1220" w:left="1300" w:header="877" w:footer="1033" w:gutter="0"/>
          <w:pgNumType w:fmt="decimal"/>
          <w:cols w:space="720" w:num="1"/>
        </w:sectPr>
      </w:pPr>
      <w:r>
        <w:rPr>
          <w:rFonts w:hint="eastAsia" w:ascii="宋体" w:hAnsi="宋体" w:eastAsia="宋体"/>
          <w:sz w:val="21"/>
          <w:szCs w:val="21"/>
          <w:highlight w:val="none"/>
        </w:rPr>
        <w:t xml:space="preserve">日     </w:t>
      </w:r>
      <w:r>
        <w:rPr>
          <w:rFonts w:ascii="宋体" w:hAnsi="宋体" w:eastAsia="宋体"/>
          <w:sz w:val="21"/>
          <w:szCs w:val="21"/>
          <w:highlight w:val="none"/>
        </w:rPr>
        <w:t xml:space="preserve"> </w:t>
      </w:r>
      <w:r>
        <w:rPr>
          <w:rFonts w:hint="eastAsia" w:ascii="宋体" w:hAnsi="宋体" w:eastAsia="宋体"/>
          <w:sz w:val="21"/>
          <w:szCs w:val="21"/>
          <w:highlight w:val="none"/>
        </w:rPr>
        <w:t>期：</w:t>
      </w:r>
      <w:r>
        <w:rPr>
          <w:rFonts w:hint="eastAsia" w:ascii="宋体" w:hAnsi="宋体" w:eastAsia="宋体"/>
          <w:sz w:val="21"/>
          <w:szCs w:val="21"/>
          <w:highlight w:val="none"/>
          <w:u w:val="single"/>
        </w:rPr>
        <w:t xml:space="preserve">             </w:t>
      </w:r>
    </w:p>
    <w:p w14:paraId="23C9EDBD">
      <w:pPr>
        <w:autoSpaceDE w:val="0"/>
        <w:autoSpaceDN w:val="0"/>
        <w:spacing w:before="132" w:line="360" w:lineRule="auto"/>
        <w:ind w:left="1367" w:right="1505"/>
        <w:jc w:val="center"/>
        <w:outlineLvl w:val="0"/>
        <w:rPr>
          <w:rFonts w:ascii="宋体" w:hAnsi="宋体" w:eastAsia="宋体" w:cs="宋体"/>
          <w:b/>
          <w:bCs/>
          <w:kern w:val="0"/>
          <w:szCs w:val="21"/>
          <w:highlight w:val="none"/>
          <w:lang w:val="zh-CN" w:bidi="zh-CN"/>
        </w:rPr>
      </w:pPr>
      <w:bookmarkStart w:id="89" w:name="_Toc3095"/>
      <w:bookmarkStart w:id="90" w:name="_Toc8894"/>
      <w:r>
        <w:rPr>
          <w:rFonts w:hint="eastAsia" w:ascii="宋体" w:hAnsi="宋体" w:eastAsia="宋体" w:cs="宋体"/>
          <w:b/>
          <w:bCs/>
          <w:kern w:val="0"/>
          <w:szCs w:val="21"/>
          <w:highlight w:val="none"/>
          <w:lang w:val="en-US" w:eastAsia="zh-CN" w:bidi="zh-CN"/>
        </w:rPr>
        <w:t>七</w:t>
      </w:r>
      <w:r>
        <w:rPr>
          <w:rFonts w:ascii="宋体" w:hAnsi="宋体" w:eastAsia="宋体" w:cs="宋体"/>
          <w:b/>
          <w:bCs/>
          <w:kern w:val="0"/>
          <w:szCs w:val="21"/>
          <w:highlight w:val="none"/>
          <w:lang w:val="zh-CN" w:bidi="zh-CN"/>
        </w:rPr>
        <w:t>、其他相关证明材料</w:t>
      </w:r>
      <w:bookmarkEnd w:id="89"/>
      <w:bookmarkEnd w:id="90"/>
    </w:p>
    <w:p w14:paraId="4684A60F">
      <w:pPr>
        <w:pStyle w:val="8"/>
        <w:spacing w:before="160" w:line="360" w:lineRule="auto"/>
        <w:ind w:left="500" w:right="661" w:firstLine="479"/>
        <w:rPr>
          <w:sz w:val="21"/>
          <w:szCs w:val="21"/>
          <w:highlight w:val="none"/>
        </w:rPr>
      </w:pPr>
      <w:r>
        <w:rPr>
          <w:sz w:val="21"/>
          <w:szCs w:val="21"/>
          <w:highlight w:val="none"/>
        </w:rPr>
        <w:t>提供符合谈判邀请（谈判公告）、采购需求及评审方法和标准规定的相关证明文件。</w:t>
      </w:r>
    </w:p>
    <w:p w14:paraId="4CB0C110">
      <w:pPr>
        <w:pStyle w:val="8"/>
        <w:spacing w:line="360" w:lineRule="auto"/>
        <w:rPr>
          <w:sz w:val="21"/>
          <w:szCs w:val="21"/>
          <w:highlight w:val="none"/>
        </w:rPr>
      </w:pPr>
    </w:p>
    <w:p w14:paraId="439479AA">
      <w:pPr>
        <w:pStyle w:val="8"/>
        <w:spacing w:line="360" w:lineRule="auto"/>
        <w:rPr>
          <w:sz w:val="21"/>
          <w:szCs w:val="21"/>
          <w:highlight w:val="none"/>
        </w:rPr>
      </w:pPr>
    </w:p>
    <w:p w14:paraId="3B2C548C">
      <w:pPr>
        <w:pStyle w:val="8"/>
        <w:spacing w:before="2" w:line="360" w:lineRule="auto"/>
        <w:rPr>
          <w:sz w:val="21"/>
          <w:szCs w:val="21"/>
          <w:highlight w:val="none"/>
        </w:rPr>
      </w:pPr>
    </w:p>
    <w:p w14:paraId="4892D5BC">
      <w:pPr>
        <w:spacing w:after="240" w:afterLines="100" w:line="360" w:lineRule="auto"/>
        <w:ind w:firstLine="843" w:firstLineChars="400"/>
        <w:rPr>
          <w:b/>
          <w:sz w:val="21"/>
          <w:szCs w:val="21"/>
          <w:highlight w:val="none"/>
        </w:rPr>
      </w:pPr>
      <w:r>
        <w:rPr>
          <w:b/>
          <w:sz w:val="21"/>
          <w:szCs w:val="21"/>
          <w:highlight w:val="none"/>
        </w:rPr>
        <w:t>特别提示：</w:t>
      </w:r>
    </w:p>
    <w:p w14:paraId="6FB28A07">
      <w:pPr>
        <w:pStyle w:val="8"/>
        <w:spacing w:before="161" w:line="360" w:lineRule="auto"/>
        <w:ind w:left="500" w:right="659" w:firstLine="434"/>
        <w:jc w:val="both"/>
        <w:rPr>
          <w:sz w:val="21"/>
          <w:szCs w:val="21"/>
          <w:highlight w:val="none"/>
        </w:rPr>
      </w:pPr>
      <w:r>
        <w:rPr>
          <w:sz w:val="21"/>
          <w:szCs w:val="21"/>
          <w:highlight w:val="none"/>
        </w:rPr>
        <w:t>供应商在响应文件制作时可在此栏内上传谈判文件要求上传的证明资料，如营业执照、税务登记证、人员证书、资质证书、荣誉奖项等，应将上述证明材料制作成扫描件上传。</w:t>
      </w:r>
    </w:p>
    <w:p w14:paraId="0DE67C31">
      <w:pPr>
        <w:rPr>
          <w:rFonts w:hint="eastAsia" w:ascii="宋体" w:hAnsi="宋体" w:eastAsia="宋体" w:cs="宋体"/>
          <w:color w:val="auto"/>
          <w:sz w:val="24"/>
          <w:highlight w:val="none"/>
          <w:lang w:val="en-US" w:eastAsia="zh-CN"/>
        </w:rPr>
      </w:pPr>
      <w:bookmarkStart w:id="91" w:name="_Toc23399"/>
      <w:bookmarkStart w:id="92" w:name="_Toc14351"/>
      <w:r>
        <w:rPr>
          <w:rFonts w:hint="eastAsia" w:ascii="宋体" w:hAnsi="宋体" w:eastAsia="宋体" w:cs="宋体"/>
          <w:color w:val="auto"/>
          <w:sz w:val="24"/>
          <w:highlight w:val="none"/>
          <w:lang w:val="en-US" w:eastAsia="zh-CN"/>
        </w:rPr>
        <w:br w:type="page"/>
      </w:r>
    </w:p>
    <w:p w14:paraId="3057C1E5">
      <w:pPr>
        <w:widowControl/>
        <w:jc w:val="center"/>
        <w:outlineLvl w:val="0"/>
        <w:rPr>
          <w:rFonts w:hint="eastAsia" w:ascii="华文中宋" w:hAnsi="华文中宋" w:eastAsia="华文中宋" w:cs="华文中宋"/>
          <w:b/>
          <w:bCs/>
          <w:kern w:val="44"/>
          <w:sz w:val="44"/>
          <w:szCs w:val="44"/>
          <w:highlight w:val="none"/>
          <w:lang w:val="en-US" w:eastAsia="zh-CN"/>
        </w:rPr>
      </w:pPr>
      <w:bookmarkStart w:id="93" w:name="_Toc32207"/>
      <w:r>
        <w:rPr>
          <w:rFonts w:hint="eastAsia" w:ascii="华文中宋" w:hAnsi="华文中宋" w:eastAsia="华文中宋" w:cs="华文中宋"/>
          <w:b/>
          <w:bCs/>
          <w:kern w:val="44"/>
          <w:sz w:val="44"/>
          <w:szCs w:val="44"/>
          <w:highlight w:val="none"/>
          <w:lang w:val="en-US" w:eastAsia="zh-CN"/>
        </w:rPr>
        <w:t>第七章 采购供应商询问函和质疑函范本</w:t>
      </w:r>
      <w:bookmarkEnd w:id="91"/>
      <w:bookmarkEnd w:id="92"/>
      <w:bookmarkEnd w:id="93"/>
    </w:p>
    <w:p w14:paraId="0CDBB549">
      <w:pPr>
        <w:keepNext w:val="0"/>
        <w:keepLines w:val="0"/>
        <w:pageBreakBefore w:val="0"/>
        <w:widowControl w:val="0"/>
        <w:kinsoku/>
        <w:wordWrap/>
        <w:overflowPunct/>
        <w:topLinePunct w:val="0"/>
        <w:autoSpaceDE w:val="0"/>
        <w:autoSpaceDN w:val="0"/>
        <w:bidi w:val="0"/>
        <w:adjustRightInd/>
        <w:snapToGrid/>
        <w:spacing w:before="0" w:beforeLines="-2147483648" w:after="0" w:afterLines="-2147483648" w:line="360" w:lineRule="auto"/>
        <w:ind w:left="1706" w:right="1701" w:firstLine="0" w:firstLineChars="0"/>
        <w:jc w:val="center"/>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询问函范本</w:t>
      </w:r>
    </w:p>
    <w:p w14:paraId="3C339C02">
      <w:pPr>
        <w:pStyle w:val="53"/>
        <w:bidi w:val="0"/>
        <w:rPr>
          <w:color w:val="auto"/>
          <w:highlight w:val="none"/>
        </w:rPr>
      </w:pPr>
      <w:r>
        <w:rPr>
          <w:rFonts w:hint="eastAsia"/>
          <w:color w:val="auto"/>
          <w:highlight w:val="none"/>
        </w:rPr>
        <w:t>（如为对采购文件或采购程序的询问或疑问，请按询问函范本格式附件进行提交）</w:t>
      </w:r>
    </w:p>
    <w:p w14:paraId="5FFBAF75">
      <w:pPr>
        <w:pStyle w:val="53"/>
        <w:bidi w:val="0"/>
        <w:rPr>
          <w:b/>
          <w:bCs/>
          <w:color w:val="auto"/>
          <w:highlight w:val="none"/>
        </w:rPr>
      </w:pPr>
      <w:r>
        <w:rPr>
          <w:rFonts w:hint="eastAsia"/>
          <w:b/>
          <w:bCs/>
          <w:color w:val="auto"/>
          <w:highlight w:val="none"/>
        </w:rPr>
        <w:t>致：（采购人）</w:t>
      </w:r>
    </w:p>
    <w:p w14:paraId="3787D63C">
      <w:pPr>
        <w:pStyle w:val="53"/>
        <w:bidi w:val="0"/>
        <w:rPr>
          <w:color w:val="auto"/>
          <w:highlight w:val="none"/>
        </w:rPr>
      </w:pPr>
      <w:r>
        <w:rPr>
          <w:rFonts w:hint="eastAsia"/>
          <w:color w:val="auto"/>
          <w:highlight w:val="none"/>
        </w:rPr>
        <w:t>我单位拟参与（项目名称、编号)的采购活动，现有以下内容(或条款)存在疑问(或无法理解)，特提出询问。</w:t>
      </w:r>
    </w:p>
    <w:p w14:paraId="2D28769D">
      <w:pPr>
        <w:pStyle w:val="53"/>
        <w:bidi w:val="0"/>
        <w:rPr>
          <w:b/>
          <w:bCs/>
          <w:color w:val="auto"/>
          <w:highlight w:val="none"/>
        </w:rPr>
      </w:pPr>
      <w:bookmarkStart w:id="94" w:name="_Toc26386"/>
      <w:bookmarkStart w:id="95" w:name="_Toc9092"/>
      <w:r>
        <w:rPr>
          <w:rFonts w:hint="eastAsia"/>
          <w:b/>
          <w:bCs/>
          <w:color w:val="auto"/>
          <w:highlight w:val="none"/>
        </w:rPr>
        <w:t>一、(事项一)</w:t>
      </w:r>
      <w:bookmarkEnd w:id="94"/>
      <w:bookmarkEnd w:id="95"/>
    </w:p>
    <w:p w14:paraId="207DA16B">
      <w:pPr>
        <w:pStyle w:val="53"/>
        <w:bidi w:val="0"/>
        <w:rPr>
          <w:color w:val="auto"/>
          <w:highlight w:val="none"/>
        </w:rPr>
      </w:pPr>
      <w:r>
        <w:rPr>
          <w:rFonts w:hint="eastAsia"/>
          <w:color w:val="auto"/>
          <w:highlight w:val="none"/>
        </w:rPr>
        <w:t>1、(内容或条款)</w:t>
      </w:r>
    </w:p>
    <w:p w14:paraId="18E7AE22">
      <w:pPr>
        <w:pStyle w:val="53"/>
        <w:bidi w:val="0"/>
        <w:rPr>
          <w:color w:val="auto"/>
          <w:highlight w:val="none"/>
        </w:rPr>
      </w:pPr>
      <w:r>
        <w:rPr>
          <w:rFonts w:hint="eastAsia"/>
          <w:color w:val="auto"/>
          <w:highlight w:val="none"/>
        </w:rPr>
        <w:t>2、(说明疑问或无法理解原因)</w:t>
      </w:r>
    </w:p>
    <w:p w14:paraId="438D17FA">
      <w:pPr>
        <w:pStyle w:val="53"/>
        <w:bidi w:val="0"/>
        <w:rPr>
          <w:color w:val="auto"/>
          <w:highlight w:val="none"/>
        </w:rPr>
      </w:pPr>
      <w:r>
        <w:rPr>
          <w:rFonts w:hint="eastAsia"/>
          <w:color w:val="auto"/>
          <w:highlight w:val="none"/>
        </w:rPr>
        <w:t>3、(建议)</w:t>
      </w:r>
    </w:p>
    <w:p w14:paraId="7797EC4A">
      <w:pPr>
        <w:pStyle w:val="53"/>
        <w:bidi w:val="0"/>
        <w:rPr>
          <w:b/>
          <w:bCs/>
          <w:color w:val="auto"/>
          <w:highlight w:val="none"/>
        </w:rPr>
      </w:pPr>
      <w:bookmarkStart w:id="96" w:name="_Toc9273"/>
      <w:bookmarkStart w:id="97" w:name="_Toc17582"/>
      <w:r>
        <w:rPr>
          <w:rFonts w:hint="eastAsia"/>
          <w:b/>
          <w:bCs/>
          <w:color w:val="auto"/>
          <w:highlight w:val="none"/>
        </w:rPr>
        <w:t>二、(事项二)</w:t>
      </w:r>
      <w:bookmarkEnd w:id="96"/>
      <w:bookmarkEnd w:id="97"/>
    </w:p>
    <w:p w14:paraId="690907B4">
      <w:pPr>
        <w:pStyle w:val="53"/>
        <w:bidi w:val="0"/>
        <w:rPr>
          <w:color w:val="auto"/>
          <w:highlight w:val="none"/>
        </w:rPr>
      </w:pPr>
      <w:r>
        <w:rPr>
          <w:rFonts w:hint="eastAsia"/>
          <w:color w:val="auto"/>
          <w:highlight w:val="none"/>
        </w:rPr>
        <w:t>...</w:t>
      </w:r>
    </w:p>
    <w:p w14:paraId="75CECCA5">
      <w:pPr>
        <w:pStyle w:val="53"/>
        <w:bidi w:val="0"/>
        <w:rPr>
          <w:rFonts w:hint="eastAsia" w:eastAsia="宋体"/>
          <w:color w:val="auto"/>
          <w:highlight w:val="none"/>
          <w:lang w:eastAsia="zh-CN"/>
        </w:rPr>
      </w:pPr>
      <w:r>
        <w:rPr>
          <w:rFonts w:hint="eastAsia"/>
          <w:color w:val="auto"/>
          <w:highlight w:val="none"/>
        </w:rPr>
        <w:t>随附相关证明材料如下：</w:t>
      </w:r>
    </w:p>
    <w:p w14:paraId="0D7AFE12">
      <w:pPr>
        <w:pStyle w:val="53"/>
        <w:bidi w:val="0"/>
        <w:rPr>
          <w:rFonts w:hint="eastAsia"/>
          <w:color w:val="auto"/>
          <w:highlight w:val="none"/>
        </w:rPr>
      </w:pPr>
    </w:p>
    <w:p w14:paraId="22A12B86">
      <w:pPr>
        <w:pStyle w:val="53"/>
        <w:bidi w:val="0"/>
        <w:rPr>
          <w:rFonts w:hint="eastAsia"/>
          <w:color w:val="auto"/>
          <w:highlight w:val="none"/>
        </w:rPr>
      </w:pPr>
    </w:p>
    <w:p w14:paraId="0350CA0A">
      <w:pPr>
        <w:pStyle w:val="53"/>
        <w:bidi w:val="0"/>
        <w:rPr>
          <w:rFonts w:hint="eastAsia"/>
          <w:color w:val="auto"/>
          <w:highlight w:val="none"/>
        </w:rPr>
      </w:pPr>
    </w:p>
    <w:p w14:paraId="6317EF89">
      <w:pPr>
        <w:pStyle w:val="53"/>
        <w:bidi w:val="0"/>
        <w:rPr>
          <w:rFonts w:hint="eastAsia"/>
          <w:color w:val="auto"/>
          <w:highlight w:val="none"/>
        </w:rPr>
      </w:pPr>
    </w:p>
    <w:p w14:paraId="54BB9830">
      <w:pPr>
        <w:pStyle w:val="53"/>
        <w:bidi w:val="0"/>
        <w:jc w:val="center"/>
        <w:rPr>
          <w:color w:val="auto"/>
          <w:highlight w:val="none"/>
        </w:rPr>
      </w:pPr>
      <w:r>
        <w:rPr>
          <w:rFonts w:hint="eastAsia"/>
          <w:color w:val="auto"/>
          <w:highlight w:val="none"/>
        </w:rPr>
        <w:t>联系人：</w:t>
      </w:r>
    </w:p>
    <w:p w14:paraId="7163D2CA">
      <w:pPr>
        <w:pStyle w:val="53"/>
        <w:bidi w:val="0"/>
        <w:jc w:val="center"/>
        <w:rPr>
          <w:color w:val="auto"/>
          <w:highlight w:val="none"/>
        </w:rPr>
      </w:pPr>
      <w:r>
        <w:rPr>
          <w:rFonts w:hint="eastAsia"/>
          <w:color w:val="auto"/>
          <w:highlight w:val="none"/>
        </w:rPr>
        <w:t>联系电话：</w:t>
      </w:r>
    </w:p>
    <w:p w14:paraId="7A61DAB9">
      <w:pPr>
        <w:pStyle w:val="53"/>
        <w:bidi w:val="0"/>
        <w:jc w:val="center"/>
        <w:rPr>
          <w:color w:val="auto"/>
          <w:highlight w:val="none"/>
        </w:rPr>
      </w:pPr>
      <w:r>
        <w:rPr>
          <w:rFonts w:hint="eastAsia"/>
          <w:color w:val="auto"/>
          <w:highlight w:val="none"/>
        </w:rPr>
        <w:t>日期：</w:t>
      </w:r>
    </w:p>
    <w:p w14:paraId="01867021">
      <w:pPr>
        <w:pStyle w:val="8"/>
        <w:spacing w:before="161" w:line="360" w:lineRule="auto"/>
        <w:ind w:left="560"/>
        <w:rPr>
          <w:color w:val="auto"/>
          <w:sz w:val="21"/>
          <w:szCs w:val="21"/>
          <w:highlight w:val="none"/>
        </w:rPr>
      </w:pPr>
    </w:p>
    <w:p w14:paraId="53146905">
      <w:pPr>
        <w:spacing w:line="360" w:lineRule="auto"/>
        <w:rPr>
          <w:color w:val="auto"/>
          <w:sz w:val="21"/>
          <w:szCs w:val="21"/>
          <w:highlight w:val="none"/>
        </w:rPr>
        <w:sectPr>
          <w:pgSz w:w="11910" w:h="16840"/>
          <w:pgMar w:top="1400" w:right="1240" w:bottom="1220" w:left="1240" w:header="877" w:footer="1033" w:gutter="0"/>
          <w:pgNumType w:fmt="decimal"/>
          <w:cols w:space="720" w:num="1"/>
        </w:sectPr>
      </w:pPr>
    </w:p>
    <w:p w14:paraId="20362BAA">
      <w:pPr>
        <w:keepNext w:val="0"/>
        <w:keepLines w:val="0"/>
        <w:pageBreakBefore w:val="0"/>
        <w:widowControl w:val="0"/>
        <w:kinsoku/>
        <w:wordWrap/>
        <w:overflowPunct/>
        <w:topLinePunct w:val="0"/>
        <w:autoSpaceDE w:val="0"/>
        <w:autoSpaceDN w:val="0"/>
        <w:bidi w:val="0"/>
        <w:adjustRightInd/>
        <w:snapToGrid/>
        <w:spacing w:before="0" w:beforeLines="-2147483648" w:after="0" w:afterLines="-2147483648" w:line="360" w:lineRule="auto"/>
        <w:ind w:left="1706" w:right="1701" w:firstLine="0" w:firstLineChars="0"/>
        <w:jc w:val="center"/>
        <w:textAlignment w:val="auto"/>
        <w:rPr>
          <w:rFonts w:hint="eastAsia" w:ascii="宋体" w:hAnsi="宋体" w:eastAsia="宋体" w:cs="宋体"/>
          <w:b/>
          <w:color w:val="auto"/>
          <w:sz w:val="21"/>
          <w:szCs w:val="21"/>
          <w:highlight w:val="none"/>
          <w:lang w:val="en-US" w:eastAsia="zh-CN"/>
        </w:rPr>
      </w:pPr>
      <w:bookmarkStart w:id="98" w:name="_Toc26673"/>
      <w:bookmarkStart w:id="99" w:name="_Toc6990"/>
      <w:r>
        <w:rPr>
          <w:rFonts w:hint="eastAsia" w:ascii="宋体" w:hAnsi="宋体" w:eastAsia="宋体" w:cs="宋体"/>
          <w:b/>
          <w:color w:val="auto"/>
          <w:sz w:val="21"/>
          <w:szCs w:val="21"/>
          <w:highlight w:val="none"/>
          <w:lang w:val="en-US" w:eastAsia="zh-CN"/>
        </w:rPr>
        <w:t>质疑函范本</w:t>
      </w:r>
      <w:bookmarkEnd w:id="98"/>
      <w:bookmarkEnd w:id="99"/>
    </w:p>
    <w:p w14:paraId="6DA5BF9E">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b/>
          <w:bCs/>
          <w:color w:val="auto"/>
          <w:highlight w:val="none"/>
        </w:rPr>
      </w:pPr>
      <w:bookmarkStart w:id="100" w:name="_Toc2994"/>
      <w:bookmarkStart w:id="101" w:name="_Toc29510"/>
      <w:r>
        <w:rPr>
          <w:rFonts w:hint="eastAsia"/>
          <w:b/>
          <w:bCs/>
          <w:color w:val="auto"/>
          <w:highlight w:val="none"/>
        </w:rPr>
        <w:t>一、质疑供应商基本信息</w:t>
      </w:r>
      <w:bookmarkEnd w:id="100"/>
      <w:bookmarkEnd w:id="101"/>
    </w:p>
    <w:p w14:paraId="58523A35">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质疑供应商：</w:t>
      </w:r>
    </w:p>
    <w:p w14:paraId="3ABB03A6">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地址：邮编：</w:t>
      </w:r>
    </w:p>
    <w:p w14:paraId="33EE7995">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联系人：联系电话：</w:t>
      </w:r>
    </w:p>
    <w:p w14:paraId="0AD703B9">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授权代表：</w:t>
      </w:r>
    </w:p>
    <w:p w14:paraId="73CD29B4">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联系电话：</w:t>
      </w:r>
    </w:p>
    <w:p w14:paraId="1F816D47">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地址：邮编：</w:t>
      </w:r>
    </w:p>
    <w:p w14:paraId="38BD0C68">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b/>
          <w:bCs/>
          <w:color w:val="auto"/>
          <w:highlight w:val="none"/>
        </w:rPr>
      </w:pPr>
      <w:bookmarkStart w:id="102" w:name="_Toc31042"/>
      <w:bookmarkStart w:id="103" w:name="_Toc28130"/>
      <w:r>
        <w:rPr>
          <w:rFonts w:hint="eastAsia"/>
          <w:b/>
          <w:bCs/>
          <w:color w:val="auto"/>
          <w:highlight w:val="none"/>
        </w:rPr>
        <w:t>二、质疑项目基本情况</w:t>
      </w:r>
      <w:bookmarkEnd w:id="102"/>
      <w:bookmarkEnd w:id="103"/>
    </w:p>
    <w:p w14:paraId="09F9A41B">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color w:val="auto"/>
          <w:highlight w:val="none"/>
        </w:rPr>
      </w:pPr>
      <w:r>
        <w:rPr>
          <w:rFonts w:hint="eastAsia"/>
          <w:color w:val="auto"/>
          <w:highlight w:val="none"/>
        </w:rPr>
        <w:t>质疑项目的名称：</w:t>
      </w:r>
    </w:p>
    <w:p w14:paraId="53EA06D0">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质疑项目的编号：</w:t>
      </w:r>
    </w:p>
    <w:p w14:paraId="018BFDEA">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采购人名称：</w:t>
      </w:r>
    </w:p>
    <w:p w14:paraId="0D32C5E4">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采购文件获取日期：</w:t>
      </w:r>
    </w:p>
    <w:p w14:paraId="491153F2">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b/>
          <w:bCs/>
          <w:color w:val="auto"/>
          <w:highlight w:val="none"/>
        </w:rPr>
      </w:pPr>
      <w:bookmarkStart w:id="104" w:name="_Toc20587"/>
      <w:bookmarkStart w:id="105" w:name="_Toc6486"/>
      <w:r>
        <w:rPr>
          <w:rFonts w:hint="eastAsia"/>
          <w:b/>
          <w:bCs/>
          <w:color w:val="auto"/>
          <w:highlight w:val="none"/>
        </w:rPr>
        <w:t>三、质疑事项具体内容</w:t>
      </w:r>
      <w:bookmarkEnd w:id="104"/>
      <w:bookmarkEnd w:id="105"/>
    </w:p>
    <w:p w14:paraId="2758D114">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质疑事项1：</w:t>
      </w:r>
    </w:p>
    <w:p w14:paraId="0BFA22BD">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事实依据：</w:t>
      </w:r>
    </w:p>
    <w:p w14:paraId="5413DA2D">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p>
    <w:p w14:paraId="1AD9CD9A">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法律依据：</w:t>
      </w:r>
    </w:p>
    <w:p w14:paraId="4030BF01">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p>
    <w:p w14:paraId="549198F5">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质疑事项2</w:t>
      </w:r>
    </w:p>
    <w:p w14:paraId="69025D17">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color w:val="auto"/>
          <w:highlight w:val="none"/>
        </w:rPr>
      </w:pPr>
      <w:r>
        <w:rPr>
          <w:rFonts w:hint="eastAsia"/>
          <w:color w:val="auto"/>
          <w:highlight w:val="none"/>
        </w:rPr>
        <w:t>……</w:t>
      </w:r>
    </w:p>
    <w:p w14:paraId="6A115CD1">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b/>
          <w:bCs/>
          <w:color w:val="auto"/>
          <w:highlight w:val="none"/>
        </w:rPr>
      </w:pPr>
      <w:bookmarkStart w:id="106" w:name="_Toc32755"/>
      <w:bookmarkStart w:id="107" w:name="_Toc20470"/>
      <w:r>
        <w:rPr>
          <w:rFonts w:hint="eastAsia"/>
          <w:b/>
          <w:bCs/>
          <w:color w:val="auto"/>
          <w:highlight w:val="none"/>
        </w:rPr>
        <w:t>四、与质疑事项相关的质疑请求</w:t>
      </w:r>
      <w:bookmarkEnd w:id="106"/>
      <w:bookmarkEnd w:id="107"/>
    </w:p>
    <w:p w14:paraId="0B0A23E1">
      <w:pPr>
        <w:pStyle w:val="53"/>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eastAsia="宋体"/>
          <w:color w:val="auto"/>
          <w:highlight w:val="none"/>
          <w:lang w:eastAsia="zh-CN"/>
        </w:rPr>
      </w:pPr>
      <w:r>
        <w:rPr>
          <w:rFonts w:hint="eastAsia"/>
          <w:color w:val="auto"/>
          <w:highlight w:val="none"/>
        </w:rPr>
        <w:t>请求：</w:t>
      </w:r>
    </w:p>
    <w:p w14:paraId="1BF73AD0">
      <w:pPr>
        <w:pStyle w:val="53"/>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color w:val="auto"/>
          <w:highlight w:val="none"/>
        </w:rPr>
      </w:pPr>
    </w:p>
    <w:p w14:paraId="5ADA7D91">
      <w:pPr>
        <w:pStyle w:val="53"/>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color w:val="auto"/>
          <w:highlight w:val="none"/>
        </w:rPr>
      </w:pPr>
    </w:p>
    <w:p w14:paraId="155F3D0F">
      <w:pPr>
        <w:pStyle w:val="53"/>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color w:val="auto"/>
          <w:highlight w:val="none"/>
        </w:rPr>
      </w:pPr>
      <w:r>
        <w:rPr>
          <w:rFonts w:hint="eastAsia"/>
          <w:color w:val="auto"/>
          <w:highlight w:val="none"/>
        </w:rPr>
        <w:t>签字(签章)：公章：</w:t>
      </w:r>
    </w:p>
    <w:p w14:paraId="68FAE384">
      <w:pPr>
        <w:pStyle w:val="53"/>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color w:val="auto"/>
          <w:highlight w:val="none"/>
        </w:rPr>
      </w:pPr>
      <w:r>
        <w:rPr>
          <w:rFonts w:hint="eastAsia"/>
          <w:color w:val="auto"/>
          <w:highlight w:val="none"/>
        </w:rPr>
        <w:t>日期：</w:t>
      </w:r>
    </w:p>
    <w:p w14:paraId="0E87B84A">
      <w:pPr>
        <w:widowControl/>
        <w:jc w:val="left"/>
        <w:rPr>
          <w:rFonts w:ascii="仿宋" w:hAnsi="仿宋" w:eastAsia="仿宋" w:cs="仿宋"/>
          <w:color w:val="auto"/>
          <w:sz w:val="21"/>
          <w:szCs w:val="21"/>
          <w:highlight w:val="none"/>
        </w:rPr>
      </w:pPr>
      <w:r>
        <w:rPr>
          <w:rFonts w:ascii="仿宋" w:hAnsi="仿宋" w:eastAsia="仿宋" w:cs="仿宋"/>
          <w:color w:val="auto"/>
          <w:sz w:val="21"/>
          <w:szCs w:val="21"/>
          <w:highlight w:val="none"/>
        </w:rPr>
        <w:br w:type="page"/>
      </w:r>
    </w:p>
    <w:p w14:paraId="5E8EB3D3">
      <w:pPr>
        <w:pStyle w:val="53"/>
        <w:bidi w:val="0"/>
        <w:rPr>
          <w:b/>
          <w:bCs/>
          <w:color w:val="auto"/>
          <w:highlight w:val="none"/>
        </w:rPr>
      </w:pPr>
      <w:bookmarkStart w:id="108" w:name="_Toc8368"/>
      <w:bookmarkStart w:id="109" w:name="_Toc21667"/>
      <w:r>
        <w:rPr>
          <w:rFonts w:hint="eastAsia"/>
          <w:b/>
          <w:bCs/>
          <w:color w:val="auto"/>
          <w:highlight w:val="none"/>
        </w:rPr>
        <w:t>质疑函制作说明：</w:t>
      </w:r>
      <w:bookmarkEnd w:id="108"/>
      <w:bookmarkEnd w:id="109"/>
    </w:p>
    <w:p w14:paraId="5F6F77DB">
      <w:pPr>
        <w:pStyle w:val="53"/>
        <w:bidi w:val="0"/>
        <w:rPr>
          <w:color w:val="auto"/>
          <w:highlight w:val="none"/>
        </w:rPr>
      </w:pPr>
      <w:r>
        <w:rPr>
          <w:rFonts w:hint="eastAsia"/>
          <w:color w:val="auto"/>
          <w:highlight w:val="none"/>
        </w:rPr>
        <w:t>1.供应商提出质疑时，应提交质疑函和必要的证明材料。</w:t>
      </w:r>
    </w:p>
    <w:p w14:paraId="0DCB8834">
      <w:pPr>
        <w:pStyle w:val="53"/>
        <w:bidi w:val="0"/>
        <w:rPr>
          <w:color w:val="auto"/>
          <w:highlight w:val="none"/>
        </w:rPr>
      </w:pPr>
      <w:r>
        <w:rPr>
          <w:rFonts w:hint="eastAsia"/>
          <w:color w:val="auto"/>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C85FDDA">
      <w:pPr>
        <w:pStyle w:val="53"/>
        <w:bidi w:val="0"/>
        <w:rPr>
          <w:color w:val="auto"/>
          <w:highlight w:val="none"/>
        </w:rPr>
      </w:pPr>
      <w:r>
        <w:rPr>
          <w:rFonts w:hint="eastAsia"/>
          <w:color w:val="auto"/>
          <w:highlight w:val="none"/>
        </w:rPr>
        <w:t>3.质疑供应商若对项目的某一分包进行质疑，质疑函中应列明具体分包号。</w:t>
      </w:r>
    </w:p>
    <w:p w14:paraId="0BC7A3BF">
      <w:pPr>
        <w:pStyle w:val="53"/>
        <w:bidi w:val="0"/>
        <w:rPr>
          <w:color w:val="auto"/>
          <w:highlight w:val="none"/>
        </w:rPr>
      </w:pPr>
      <w:r>
        <w:rPr>
          <w:rFonts w:hint="eastAsia"/>
          <w:color w:val="auto"/>
          <w:highlight w:val="none"/>
        </w:rPr>
        <w:t>4.质疑函的质疑事项应具体、明确，并有必要的事实依据和法律依据。</w:t>
      </w:r>
    </w:p>
    <w:p w14:paraId="630FAC17">
      <w:pPr>
        <w:pStyle w:val="53"/>
        <w:bidi w:val="0"/>
        <w:rPr>
          <w:color w:val="auto"/>
          <w:highlight w:val="none"/>
        </w:rPr>
      </w:pPr>
      <w:r>
        <w:rPr>
          <w:rFonts w:hint="eastAsia"/>
          <w:color w:val="auto"/>
          <w:highlight w:val="none"/>
        </w:rPr>
        <w:t>5.质疑函的质疑请求应与质疑事项相关。</w:t>
      </w:r>
    </w:p>
    <w:p w14:paraId="3DB34CD7">
      <w:pPr>
        <w:pStyle w:val="53"/>
        <w:bidi w:val="0"/>
        <w:rPr>
          <w:color w:val="auto"/>
          <w:highlight w:val="none"/>
        </w:rPr>
      </w:pPr>
      <w:r>
        <w:rPr>
          <w:rFonts w:hint="eastAsia"/>
          <w:color w:val="auto"/>
          <w:highlight w:val="none"/>
        </w:rPr>
        <w:t>6.质疑供应商为自然人的，质疑函应由本人签字；质疑供应商为法人或者其他组织的，质疑函应由法定代表人、主要负责人，或者其授权代表签字或者盖章，并加盖公章。</w:t>
      </w:r>
    </w:p>
    <w:p w14:paraId="32382598">
      <w:pPr>
        <w:autoSpaceDE w:val="0"/>
        <w:autoSpaceDN w:val="0"/>
        <w:spacing w:before="132" w:line="360" w:lineRule="auto"/>
        <w:ind w:left="1367" w:right="1505"/>
        <w:jc w:val="center"/>
        <w:outlineLvl w:val="0"/>
        <w:rPr>
          <w:rFonts w:hint="default" w:ascii="宋体" w:hAnsi="宋体" w:eastAsia="宋体" w:cs="宋体"/>
          <w:b/>
          <w:bCs/>
          <w:kern w:val="0"/>
          <w:szCs w:val="21"/>
          <w:highlight w:val="none"/>
          <w:lang w:val="en-US" w:bidi="zh-CN"/>
        </w:rPr>
      </w:pPr>
    </w:p>
    <w:sectPr>
      <w:pgSz w:w="11906" w:h="16838"/>
      <w:pgMar w:top="1440" w:right="1800" w:bottom="1440" w:left="1800" w:header="851" w:footer="992" w:gutter="0"/>
      <w:pgNumType w:fmt="decimal"/>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章序" w:date="2026-09-21T17:12:59Z" w:initials="">
    <w:p w14:paraId="14582085">
      <w:pPr>
        <w:pStyle w:val="7"/>
        <w:rPr>
          <w:rFonts w:hint="default" w:eastAsia="宋体"/>
          <w:lang w:val="en-US" w:eastAsia="zh-CN"/>
        </w:rPr>
      </w:pPr>
      <w:r>
        <w:rPr>
          <w:rFonts w:hint="eastAsia"/>
          <w:lang w:val="en-US" w:eastAsia="zh-CN"/>
        </w:rPr>
        <w:t>将招标文件中的标准作为合同附件。</w:t>
      </w:r>
    </w:p>
  </w:comment>
  <w:comment w:id="1" w:author="章序" w:date="2026-09-21T16:41:37Z" w:initials="">
    <w:p w14:paraId="0F756EA3">
      <w:pPr>
        <w:pStyle w:val="7"/>
        <w:rPr>
          <w:rFonts w:hint="default" w:eastAsia="宋体"/>
          <w:lang w:val="en-US" w:eastAsia="zh-CN"/>
        </w:rPr>
      </w:pPr>
      <w:r>
        <w:rPr>
          <w:rFonts w:hint="eastAsia"/>
          <w:lang w:val="en-US" w:eastAsia="zh-CN"/>
        </w:rPr>
        <w:t>请确认是否需要保留</w:t>
      </w:r>
    </w:p>
  </w:comment>
  <w:comment w:id="2" w:author="章序" w:date="2026-09-21T16:55:41Z" w:initials="">
    <w:p w14:paraId="4931C69A">
      <w:pPr>
        <w:pStyle w:val="7"/>
        <w:rPr>
          <w:rFonts w:hint="eastAsia" w:eastAsia="宋体"/>
          <w:lang w:val="en-US" w:eastAsia="zh-CN"/>
        </w:rPr>
      </w:pPr>
      <w:r>
        <w:rPr>
          <w:rFonts w:hint="eastAsia"/>
          <w:lang w:val="en-US" w:eastAsia="zh-CN"/>
        </w:rPr>
        <w:t>请确认</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4582085" w15:done="0"/>
  <w15:commentEx w15:paraId="0F756EA3" w15:done="0"/>
  <w15:commentEx w15:paraId="4931C69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CD70CAE-D4FC-4CD6-8ECA-DC1F254355D9}"/>
  </w:font>
  <w:font w:name="Arial">
    <w:panose1 w:val="020B0604020202020204"/>
    <w:charset w:val="01"/>
    <w:family w:val="swiss"/>
    <w:pitch w:val="default"/>
    <w:sig w:usb0="E0002EFF" w:usb1="C000785B" w:usb2="00000009" w:usb3="00000000" w:csb0="400001FF" w:csb1="FFFF0000"/>
    <w:embedRegular r:id="rId2" w:fontKey="{B6DDB7FB-1590-45D7-859B-CFD38B975031}"/>
  </w:font>
  <w:font w:name="黑体">
    <w:panose1 w:val="02010609060101010101"/>
    <w:charset w:val="86"/>
    <w:family w:val="auto"/>
    <w:pitch w:val="default"/>
    <w:sig w:usb0="800002BF" w:usb1="38CF7CFA" w:usb2="00000016" w:usb3="00000000" w:csb0="00040001" w:csb1="00000000"/>
    <w:embedRegular r:id="rId3" w:fontKey="{818D6AAC-49C4-4143-B677-3A2071160B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C8338E0D-7695-469C-B84E-C547102DA3DA}"/>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panose1 w:val="02000000000000000000"/>
    <w:charset w:val="86"/>
    <w:family w:val="auto"/>
    <w:pitch w:val="default"/>
    <w:sig w:usb0="A00002BF" w:usb1="38CF7CFA" w:usb2="00082016" w:usb3="00000000" w:csb0="00040001" w:csb1="00000000"/>
    <w:embedRegular r:id="rId5" w:fontKey="{5B02A8DA-95F2-4C36-A328-00969BA191DD}"/>
  </w:font>
  <w:font w:name="华文中宋">
    <w:panose1 w:val="02010600040101010101"/>
    <w:charset w:val="86"/>
    <w:family w:val="auto"/>
    <w:pitch w:val="default"/>
    <w:sig w:usb0="00000287" w:usb1="080F0000" w:usb2="00000000" w:usb3="00000000" w:csb0="0004009F" w:csb1="DFD70000"/>
    <w:embedRegular r:id="rId6" w:fontKey="{D6E2E43B-7214-407C-80D8-03979EAC9A22}"/>
  </w:font>
  <w:font w:name="仿宋">
    <w:panose1 w:val="02010609060101010101"/>
    <w:charset w:val="86"/>
    <w:family w:val="modern"/>
    <w:pitch w:val="default"/>
    <w:sig w:usb0="800002BF" w:usb1="38CF7CFA" w:usb2="00000016" w:usb3="00000000" w:csb0="00040001" w:csb1="00000000"/>
    <w:embedRegular r:id="rId7" w:fontKey="{419315BD-D3DC-4AF4-8C3F-53A2AA5EF121}"/>
  </w:font>
  <w:font w:name="Segoe UI Symbol">
    <w:panose1 w:val="020B0502040204020203"/>
    <w:charset w:val="00"/>
    <w:family w:val="swiss"/>
    <w:pitch w:val="default"/>
    <w:sig w:usb0="800001E3" w:usb1="1200FFEF" w:usb2="00040000" w:usb3="04000000" w:csb0="00000001" w:csb1="40000000"/>
    <w:embedRegular r:id="rId8" w:fontKey="{B4A9DF67-FC5E-4F9B-A804-842FA7D8DC36}"/>
  </w:font>
  <w:font w:name="方正仿宋_GBK">
    <w:panose1 w:val="02000000000000000000"/>
    <w:charset w:val="86"/>
    <w:family w:val="auto"/>
    <w:pitch w:val="default"/>
    <w:sig w:usb0="A00002BF" w:usb1="38CF7CFA" w:usb2="00082016" w:usb3="00000000" w:csb0="00040001" w:csb1="00000000"/>
    <w:embedRegular r:id="rId9" w:fontKey="{B45E75F4-51E1-4ABE-AA73-7546380517B1}"/>
  </w:font>
  <w:font w:name="微软雅黑">
    <w:panose1 w:val="020B0503020204020204"/>
    <w:charset w:val="86"/>
    <w:family w:val="auto"/>
    <w:pitch w:val="default"/>
    <w:sig w:usb0="80000287" w:usb1="2ACF3C50" w:usb2="00000016" w:usb3="00000000" w:csb0="0004001F" w:csb1="00000000"/>
    <w:embedRegular r:id="rId10" w:fontKey="{AF6D536A-F88F-413C-AE02-192F39A5FA1B}"/>
  </w:font>
  <w:font w:name="方正仿宋_GB2312">
    <w:panose1 w:val="02000000000000000000"/>
    <w:charset w:val="86"/>
    <w:family w:val="auto"/>
    <w:pitch w:val="default"/>
    <w:sig w:usb0="A00002BF" w:usb1="184F6CFA" w:usb2="00000012" w:usb3="00000000" w:csb0="00040001" w:csb1="00000000"/>
    <w:embedRegular r:id="rId11" w:fontKey="{1818C617-45E8-49F2-8CF2-C1DC41D80FBA}"/>
  </w:font>
  <w:font w:name="华文仿宋">
    <w:panose1 w:val="02010600040101010101"/>
    <w:charset w:val="86"/>
    <w:family w:val="auto"/>
    <w:pitch w:val="default"/>
    <w:sig w:usb0="00000287" w:usb1="080F0000" w:usb2="00000000" w:usb3="00000000" w:csb0="0004009F" w:csb1="DFD70000"/>
    <w:embedRegular r:id="rId12" w:fontKey="{6C5F4BE1-1938-4D58-91C2-B49AA04900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6CA65">
    <w:pPr>
      <w:pStyle w:val="1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7ED40">
    <w:pPr>
      <w:pStyle w:val="14"/>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CA5FD4">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9CA5FD4">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8A5D1">
    <w:pPr>
      <w:pStyle w:val="1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D884F6">
                          <w:pPr>
                            <w:pStyle w:val="1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8D884F6">
                    <w:pPr>
                      <w:pStyle w:val="1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DBD21">
    <w:pPr>
      <w:pStyle w:val="1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3C67F4">
                          <w:pPr>
                            <w:pStyle w:val="1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93C67F4">
                    <w:pPr>
                      <w:pStyle w:val="1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D00D0">
    <w:pPr>
      <w:pStyle w:val="1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CA167">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7D7D19"/>
    <w:multiLevelType w:val="multilevel"/>
    <w:tmpl w:val="077D7D19"/>
    <w:lvl w:ilvl="0" w:tentative="0">
      <w:start w:val="1"/>
      <w:numFmt w:val="decimal"/>
      <w:lvlText w:val="%1."/>
      <w:lvlJc w:val="left"/>
      <w:pPr>
        <w:ind w:left="220" w:hanging="241"/>
      </w:pPr>
      <w:rPr>
        <w:rFonts w:hint="eastAsia" w:ascii="宋体" w:hAnsi="宋体" w:eastAsia="宋体" w:cs="宋体"/>
        <w:b w:val="0"/>
        <w:i w:val="0"/>
        <w:spacing w:val="0"/>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abstractNum w:abstractNumId="1">
    <w:nsid w:val="1D114CAE"/>
    <w:multiLevelType w:val="multilevel"/>
    <w:tmpl w:val="1D114CAE"/>
    <w:lvl w:ilvl="0" w:tentative="0">
      <w:start w:val="1"/>
      <w:numFmt w:val="decimal"/>
      <w:lvlText w:val="（%1）"/>
      <w:lvlJc w:val="left"/>
      <w:pPr>
        <w:ind w:left="1255"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22" w:hanging="601"/>
      </w:pPr>
      <w:rPr>
        <w:rFonts w:hint="default"/>
        <w:lang w:val="zh-CN" w:eastAsia="zh-CN" w:bidi="zh-CN"/>
      </w:rPr>
    </w:lvl>
    <w:lvl w:ilvl="2" w:tentative="0">
      <w:start w:val="0"/>
      <w:numFmt w:val="bullet"/>
      <w:lvlText w:val="•"/>
      <w:lvlJc w:val="left"/>
      <w:pPr>
        <w:ind w:left="2785" w:hanging="601"/>
      </w:pPr>
      <w:rPr>
        <w:rFonts w:hint="default"/>
        <w:lang w:val="zh-CN" w:eastAsia="zh-CN" w:bidi="zh-CN"/>
      </w:rPr>
    </w:lvl>
    <w:lvl w:ilvl="3" w:tentative="0">
      <w:start w:val="0"/>
      <w:numFmt w:val="bullet"/>
      <w:lvlText w:val="•"/>
      <w:lvlJc w:val="left"/>
      <w:pPr>
        <w:ind w:left="3547" w:hanging="601"/>
      </w:pPr>
      <w:rPr>
        <w:rFonts w:hint="default"/>
        <w:lang w:val="zh-CN" w:eastAsia="zh-CN" w:bidi="zh-CN"/>
      </w:rPr>
    </w:lvl>
    <w:lvl w:ilvl="4" w:tentative="0">
      <w:start w:val="0"/>
      <w:numFmt w:val="bullet"/>
      <w:lvlText w:val="•"/>
      <w:lvlJc w:val="left"/>
      <w:pPr>
        <w:ind w:left="4310" w:hanging="601"/>
      </w:pPr>
      <w:rPr>
        <w:rFonts w:hint="default"/>
        <w:lang w:val="zh-CN" w:eastAsia="zh-CN" w:bidi="zh-CN"/>
      </w:rPr>
    </w:lvl>
    <w:lvl w:ilvl="5" w:tentative="0">
      <w:start w:val="0"/>
      <w:numFmt w:val="bullet"/>
      <w:lvlText w:val="•"/>
      <w:lvlJc w:val="left"/>
      <w:pPr>
        <w:ind w:left="5073" w:hanging="601"/>
      </w:pPr>
      <w:rPr>
        <w:rFonts w:hint="default"/>
        <w:lang w:val="zh-CN" w:eastAsia="zh-CN" w:bidi="zh-CN"/>
      </w:rPr>
    </w:lvl>
    <w:lvl w:ilvl="6" w:tentative="0">
      <w:start w:val="0"/>
      <w:numFmt w:val="bullet"/>
      <w:lvlText w:val="•"/>
      <w:lvlJc w:val="left"/>
      <w:pPr>
        <w:ind w:left="5835" w:hanging="601"/>
      </w:pPr>
      <w:rPr>
        <w:rFonts w:hint="default"/>
        <w:lang w:val="zh-CN" w:eastAsia="zh-CN" w:bidi="zh-CN"/>
      </w:rPr>
    </w:lvl>
    <w:lvl w:ilvl="7" w:tentative="0">
      <w:start w:val="0"/>
      <w:numFmt w:val="bullet"/>
      <w:lvlText w:val="•"/>
      <w:lvlJc w:val="left"/>
      <w:pPr>
        <w:ind w:left="6598" w:hanging="601"/>
      </w:pPr>
      <w:rPr>
        <w:rFonts w:hint="default"/>
        <w:lang w:val="zh-CN" w:eastAsia="zh-CN" w:bidi="zh-CN"/>
      </w:rPr>
    </w:lvl>
    <w:lvl w:ilvl="8" w:tentative="0">
      <w:start w:val="0"/>
      <w:numFmt w:val="bullet"/>
      <w:lvlText w:val="•"/>
      <w:lvlJc w:val="left"/>
      <w:pPr>
        <w:ind w:left="7361" w:hanging="601"/>
      </w:pPr>
      <w:rPr>
        <w:rFonts w:hint="default"/>
        <w:lang w:val="zh-CN" w:eastAsia="zh-CN" w:bidi="zh-CN"/>
      </w:rPr>
    </w:lvl>
  </w:abstractNum>
  <w:abstractNum w:abstractNumId="2">
    <w:nsid w:val="1F6B0157"/>
    <w:multiLevelType w:val="multilevel"/>
    <w:tmpl w:val="1F6B0157"/>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abstractNum w:abstractNumId="3">
    <w:nsid w:val="50E47DFF"/>
    <w:multiLevelType w:val="multilevel"/>
    <w:tmpl w:val="50E47DFF"/>
    <w:lvl w:ilvl="0" w:tentative="0">
      <w:start w:val="1"/>
      <w:numFmt w:val="japaneseCounting"/>
      <w:lvlText w:val="%1、"/>
      <w:lvlJc w:val="left"/>
      <w:pPr>
        <w:ind w:left="1817" w:hanging="450"/>
      </w:pPr>
      <w:rPr>
        <w:rFonts w:hint="default"/>
      </w:rPr>
    </w:lvl>
    <w:lvl w:ilvl="1" w:tentative="0">
      <w:start w:val="1"/>
      <w:numFmt w:val="lowerLetter"/>
      <w:lvlText w:val="%2)"/>
      <w:lvlJc w:val="left"/>
      <w:pPr>
        <w:ind w:left="2207" w:hanging="420"/>
      </w:pPr>
    </w:lvl>
    <w:lvl w:ilvl="2" w:tentative="0">
      <w:start w:val="1"/>
      <w:numFmt w:val="lowerRoman"/>
      <w:lvlText w:val="%3."/>
      <w:lvlJc w:val="right"/>
      <w:pPr>
        <w:ind w:left="2627" w:hanging="420"/>
      </w:pPr>
    </w:lvl>
    <w:lvl w:ilvl="3" w:tentative="0">
      <w:start w:val="1"/>
      <w:numFmt w:val="decimal"/>
      <w:lvlText w:val="%4."/>
      <w:lvlJc w:val="left"/>
      <w:pPr>
        <w:ind w:left="3047" w:hanging="420"/>
      </w:pPr>
    </w:lvl>
    <w:lvl w:ilvl="4" w:tentative="0">
      <w:start w:val="1"/>
      <w:numFmt w:val="lowerLetter"/>
      <w:lvlText w:val="%5)"/>
      <w:lvlJc w:val="left"/>
      <w:pPr>
        <w:ind w:left="3467" w:hanging="420"/>
      </w:pPr>
    </w:lvl>
    <w:lvl w:ilvl="5" w:tentative="0">
      <w:start w:val="1"/>
      <w:numFmt w:val="lowerRoman"/>
      <w:lvlText w:val="%6."/>
      <w:lvlJc w:val="right"/>
      <w:pPr>
        <w:ind w:left="3887" w:hanging="420"/>
      </w:pPr>
    </w:lvl>
    <w:lvl w:ilvl="6" w:tentative="0">
      <w:start w:val="1"/>
      <w:numFmt w:val="decimal"/>
      <w:lvlText w:val="%7."/>
      <w:lvlJc w:val="left"/>
      <w:pPr>
        <w:ind w:left="4307" w:hanging="420"/>
      </w:pPr>
    </w:lvl>
    <w:lvl w:ilvl="7" w:tentative="0">
      <w:start w:val="1"/>
      <w:numFmt w:val="lowerLetter"/>
      <w:lvlText w:val="%8)"/>
      <w:lvlJc w:val="left"/>
      <w:pPr>
        <w:ind w:left="4727" w:hanging="420"/>
      </w:pPr>
    </w:lvl>
    <w:lvl w:ilvl="8" w:tentative="0">
      <w:start w:val="1"/>
      <w:numFmt w:val="lowerRoman"/>
      <w:lvlText w:val="%9."/>
      <w:lvlJc w:val="right"/>
      <w:pPr>
        <w:ind w:left="5147" w:hanging="420"/>
      </w:pPr>
    </w:lvl>
  </w:abstractNum>
  <w:abstractNum w:abstractNumId="4">
    <w:nsid w:val="59C76F7A"/>
    <w:multiLevelType w:val="multilevel"/>
    <w:tmpl w:val="59C76F7A"/>
    <w:lvl w:ilvl="0" w:tentative="0">
      <w:start w:val="1"/>
      <w:numFmt w:val="decimal"/>
      <w:lvlText w:val="%1."/>
      <w:lvlJc w:val="left"/>
      <w:pPr>
        <w:ind w:left="220" w:hanging="24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num w:numId="1">
    <w:abstractNumId w:val="3"/>
  </w:num>
  <w:num w:numId="2">
    <w:abstractNumId w:val="4"/>
  </w:num>
  <w:num w:numId="3">
    <w:abstractNumId w:val="0"/>
  </w:num>
  <w:num w:numId="4">
    <w:abstractNumId w:val="1"/>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章序">
    <w15:presenceInfo w15:providerId="WPS Office" w15:userId="35308317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M1YzY1YTNiNjA0ZjQxOTk1YzI1MGUwYzhhOGZkNjcifQ=="/>
  </w:docVars>
  <w:rsids>
    <w:rsidRoot w:val="00C4570A"/>
    <w:rsid w:val="00031B99"/>
    <w:rsid w:val="00032377"/>
    <w:rsid w:val="00034730"/>
    <w:rsid w:val="0006082A"/>
    <w:rsid w:val="00070921"/>
    <w:rsid w:val="0014597E"/>
    <w:rsid w:val="00195670"/>
    <w:rsid w:val="001A55F1"/>
    <w:rsid w:val="001B30DD"/>
    <w:rsid w:val="001B3852"/>
    <w:rsid w:val="001B412D"/>
    <w:rsid w:val="002743C1"/>
    <w:rsid w:val="002E38BE"/>
    <w:rsid w:val="00341F08"/>
    <w:rsid w:val="0036788F"/>
    <w:rsid w:val="003728D5"/>
    <w:rsid w:val="003C709E"/>
    <w:rsid w:val="00400CD7"/>
    <w:rsid w:val="00433CF6"/>
    <w:rsid w:val="0044021F"/>
    <w:rsid w:val="00450C1D"/>
    <w:rsid w:val="00465CA9"/>
    <w:rsid w:val="00486E6C"/>
    <w:rsid w:val="004A298D"/>
    <w:rsid w:val="004A2D48"/>
    <w:rsid w:val="00532D91"/>
    <w:rsid w:val="00564D14"/>
    <w:rsid w:val="0057548E"/>
    <w:rsid w:val="005A16E3"/>
    <w:rsid w:val="005D60DB"/>
    <w:rsid w:val="005E0F5C"/>
    <w:rsid w:val="005F0054"/>
    <w:rsid w:val="005F3213"/>
    <w:rsid w:val="00613240"/>
    <w:rsid w:val="006224BC"/>
    <w:rsid w:val="006508C2"/>
    <w:rsid w:val="006B2ADE"/>
    <w:rsid w:val="007017CA"/>
    <w:rsid w:val="00722405"/>
    <w:rsid w:val="007814A9"/>
    <w:rsid w:val="00784385"/>
    <w:rsid w:val="007A4427"/>
    <w:rsid w:val="007C5007"/>
    <w:rsid w:val="007C7A97"/>
    <w:rsid w:val="007F17CE"/>
    <w:rsid w:val="007F2CC8"/>
    <w:rsid w:val="007F5FDD"/>
    <w:rsid w:val="007F60FB"/>
    <w:rsid w:val="0081588A"/>
    <w:rsid w:val="008278B5"/>
    <w:rsid w:val="00836D03"/>
    <w:rsid w:val="008435F5"/>
    <w:rsid w:val="00844BF7"/>
    <w:rsid w:val="008A08E7"/>
    <w:rsid w:val="008A3A36"/>
    <w:rsid w:val="008F6DC0"/>
    <w:rsid w:val="00902EED"/>
    <w:rsid w:val="00911207"/>
    <w:rsid w:val="009312CC"/>
    <w:rsid w:val="009424F0"/>
    <w:rsid w:val="009513F9"/>
    <w:rsid w:val="00957BF8"/>
    <w:rsid w:val="00980959"/>
    <w:rsid w:val="00997EBF"/>
    <w:rsid w:val="009D49CF"/>
    <w:rsid w:val="009E1042"/>
    <w:rsid w:val="009E1669"/>
    <w:rsid w:val="00A05318"/>
    <w:rsid w:val="00A24552"/>
    <w:rsid w:val="00A32B3E"/>
    <w:rsid w:val="00A54537"/>
    <w:rsid w:val="00A7103B"/>
    <w:rsid w:val="00A73409"/>
    <w:rsid w:val="00A81D95"/>
    <w:rsid w:val="00A94D04"/>
    <w:rsid w:val="00B017C3"/>
    <w:rsid w:val="00B1501A"/>
    <w:rsid w:val="00B340FF"/>
    <w:rsid w:val="00B405AF"/>
    <w:rsid w:val="00B42AF0"/>
    <w:rsid w:val="00B855A9"/>
    <w:rsid w:val="00BA1821"/>
    <w:rsid w:val="00BE33A4"/>
    <w:rsid w:val="00BE6B29"/>
    <w:rsid w:val="00BF2489"/>
    <w:rsid w:val="00BF623A"/>
    <w:rsid w:val="00C324A5"/>
    <w:rsid w:val="00C42EA1"/>
    <w:rsid w:val="00C43A21"/>
    <w:rsid w:val="00C4570A"/>
    <w:rsid w:val="00C5233E"/>
    <w:rsid w:val="00CD0979"/>
    <w:rsid w:val="00D5303F"/>
    <w:rsid w:val="00E26864"/>
    <w:rsid w:val="00E42A0C"/>
    <w:rsid w:val="00E567B7"/>
    <w:rsid w:val="00E8200E"/>
    <w:rsid w:val="00E85BB2"/>
    <w:rsid w:val="00E95CCA"/>
    <w:rsid w:val="00EA7FEA"/>
    <w:rsid w:val="00EC1725"/>
    <w:rsid w:val="00F16416"/>
    <w:rsid w:val="00F86C7E"/>
    <w:rsid w:val="01430FDB"/>
    <w:rsid w:val="0166457E"/>
    <w:rsid w:val="01AA7CDD"/>
    <w:rsid w:val="01EE54A8"/>
    <w:rsid w:val="0293255D"/>
    <w:rsid w:val="02F979F4"/>
    <w:rsid w:val="038D7144"/>
    <w:rsid w:val="044019FB"/>
    <w:rsid w:val="046441B2"/>
    <w:rsid w:val="05133430"/>
    <w:rsid w:val="05846602"/>
    <w:rsid w:val="05D737D8"/>
    <w:rsid w:val="05E47D75"/>
    <w:rsid w:val="06510766"/>
    <w:rsid w:val="06B31420"/>
    <w:rsid w:val="06D53145"/>
    <w:rsid w:val="072004C0"/>
    <w:rsid w:val="0911242E"/>
    <w:rsid w:val="099866AB"/>
    <w:rsid w:val="0BB94D02"/>
    <w:rsid w:val="0D487FF8"/>
    <w:rsid w:val="0D635342"/>
    <w:rsid w:val="0D684CB2"/>
    <w:rsid w:val="0D904269"/>
    <w:rsid w:val="0DDB03AD"/>
    <w:rsid w:val="0E967F96"/>
    <w:rsid w:val="0EFE3455"/>
    <w:rsid w:val="0F6459AD"/>
    <w:rsid w:val="1017620B"/>
    <w:rsid w:val="10AB4F16"/>
    <w:rsid w:val="111063E8"/>
    <w:rsid w:val="11FF551A"/>
    <w:rsid w:val="124705DD"/>
    <w:rsid w:val="12D22C2E"/>
    <w:rsid w:val="13392CAD"/>
    <w:rsid w:val="135A41F9"/>
    <w:rsid w:val="13FF7A53"/>
    <w:rsid w:val="14725642"/>
    <w:rsid w:val="147C10A3"/>
    <w:rsid w:val="14E71FBF"/>
    <w:rsid w:val="14EF1875"/>
    <w:rsid w:val="15D171CD"/>
    <w:rsid w:val="15DD4318"/>
    <w:rsid w:val="16105F46"/>
    <w:rsid w:val="16893F4C"/>
    <w:rsid w:val="17B30BA3"/>
    <w:rsid w:val="17B40B54"/>
    <w:rsid w:val="17C90B3B"/>
    <w:rsid w:val="17DF5ACE"/>
    <w:rsid w:val="18A945FB"/>
    <w:rsid w:val="1A281E52"/>
    <w:rsid w:val="1BDC68CC"/>
    <w:rsid w:val="1BE51C24"/>
    <w:rsid w:val="1BF9122C"/>
    <w:rsid w:val="1C9B588F"/>
    <w:rsid w:val="1DC67833"/>
    <w:rsid w:val="1E91399D"/>
    <w:rsid w:val="1F676A83"/>
    <w:rsid w:val="1F6771C1"/>
    <w:rsid w:val="1FC84CB6"/>
    <w:rsid w:val="203B62B7"/>
    <w:rsid w:val="206325BD"/>
    <w:rsid w:val="208E3F24"/>
    <w:rsid w:val="20DB4653"/>
    <w:rsid w:val="20EB305C"/>
    <w:rsid w:val="212D20A3"/>
    <w:rsid w:val="22194AE1"/>
    <w:rsid w:val="22B55875"/>
    <w:rsid w:val="22E06CA1"/>
    <w:rsid w:val="23991FBE"/>
    <w:rsid w:val="23A927E5"/>
    <w:rsid w:val="24472DE0"/>
    <w:rsid w:val="24AF4B7D"/>
    <w:rsid w:val="24E16D01"/>
    <w:rsid w:val="250C1BEA"/>
    <w:rsid w:val="252E335A"/>
    <w:rsid w:val="258A4278"/>
    <w:rsid w:val="259516FF"/>
    <w:rsid w:val="25D80104"/>
    <w:rsid w:val="25FF38E2"/>
    <w:rsid w:val="26215F4F"/>
    <w:rsid w:val="26CA2142"/>
    <w:rsid w:val="26E977AC"/>
    <w:rsid w:val="27AB19B5"/>
    <w:rsid w:val="28500425"/>
    <w:rsid w:val="28996270"/>
    <w:rsid w:val="28AD1D1C"/>
    <w:rsid w:val="28E734F3"/>
    <w:rsid w:val="29415685"/>
    <w:rsid w:val="29F25B5F"/>
    <w:rsid w:val="2A0B0595"/>
    <w:rsid w:val="2A6308E4"/>
    <w:rsid w:val="2AAA6513"/>
    <w:rsid w:val="2C2C738C"/>
    <w:rsid w:val="2C317119"/>
    <w:rsid w:val="2C7C5C8D"/>
    <w:rsid w:val="2C9E37D8"/>
    <w:rsid w:val="2D5664DE"/>
    <w:rsid w:val="2E364763"/>
    <w:rsid w:val="2EF97ACB"/>
    <w:rsid w:val="2F59236B"/>
    <w:rsid w:val="2F875A04"/>
    <w:rsid w:val="30197C97"/>
    <w:rsid w:val="306F78B6"/>
    <w:rsid w:val="30796352"/>
    <w:rsid w:val="30BD524F"/>
    <w:rsid w:val="30E756F8"/>
    <w:rsid w:val="31012C04"/>
    <w:rsid w:val="311A1F18"/>
    <w:rsid w:val="31641AD6"/>
    <w:rsid w:val="32004C6A"/>
    <w:rsid w:val="32340DB8"/>
    <w:rsid w:val="326A6483"/>
    <w:rsid w:val="326E27DE"/>
    <w:rsid w:val="32BE537B"/>
    <w:rsid w:val="337B05BE"/>
    <w:rsid w:val="33984005"/>
    <w:rsid w:val="33A73D55"/>
    <w:rsid w:val="33B45D0C"/>
    <w:rsid w:val="33EA72B7"/>
    <w:rsid w:val="34000F51"/>
    <w:rsid w:val="34110FF9"/>
    <w:rsid w:val="34632A84"/>
    <w:rsid w:val="34945B3E"/>
    <w:rsid w:val="34AF69F1"/>
    <w:rsid w:val="350C3926"/>
    <w:rsid w:val="360A1AA8"/>
    <w:rsid w:val="36B044D4"/>
    <w:rsid w:val="37925F88"/>
    <w:rsid w:val="37EB3CC7"/>
    <w:rsid w:val="382A71C8"/>
    <w:rsid w:val="38482EC7"/>
    <w:rsid w:val="385054DA"/>
    <w:rsid w:val="390E4110"/>
    <w:rsid w:val="39BC750B"/>
    <w:rsid w:val="3A1915E5"/>
    <w:rsid w:val="3AB7550B"/>
    <w:rsid w:val="3B414473"/>
    <w:rsid w:val="3B585B17"/>
    <w:rsid w:val="3C9777C4"/>
    <w:rsid w:val="3CCB2319"/>
    <w:rsid w:val="3D8E44F6"/>
    <w:rsid w:val="3E815385"/>
    <w:rsid w:val="3E9F15D9"/>
    <w:rsid w:val="3F2301EA"/>
    <w:rsid w:val="3F2B2743"/>
    <w:rsid w:val="3F6E5909"/>
    <w:rsid w:val="3FE635BA"/>
    <w:rsid w:val="4007521E"/>
    <w:rsid w:val="40DD26EB"/>
    <w:rsid w:val="41630D72"/>
    <w:rsid w:val="41742F11"/>
    <w:rsid w:val="41945E9F"/>
    <w:rsid w:val="41E21665"/>
    <w:rsid w:val="42B81345"/>
    <w:rsid w:val="42F51E9D"/>
    <w:rsid w:val="43033DB9"/>
    <w:rsid w:val="443B5FD6"/>
    <w:rsid w:val="44654E01"/>
    <w:rsid w:val="449C6A74"/>
    <w:rsid w:val="44C13996"/>
    <w:rsid w:val="44D81A76"/>
    <w:rsid w:val="44E21DCF"/>
    <w:rsid w:val="454D7D6F"/>
    <w:rsid w:val="458C129F"/>
    <w:rsid w:val="45B74104"/>
    <w:rsid w:val="45E768BF"/>
    <w:rsid w:val="46D70238"/>
    <w:rsid w:val="46F106AE"/>
    <w:rsid w:val="46F26477"/>
    <w:rsid w:val="4736065A"/>
    <w:rsid w:val="484F25B3"/>
    <w:rsid w:val="48502F8D"/>
    <w:rsid w:val="49044BE8"/>
    <w:rsid w:val="49366D6C"/>
    <w:rsid w:val="4977185E"/>
    <w:rsid w:val="497E13D0"/>
    <w:rsid w:val="49866013"/>
    <w:rsid w:val="49C378A5"/>
    <w:rsid w:val="4A5B1180"/>
    <w:rsid w:val="4B6308C6"/>
    <w:rsid w:val="4BCC0584"/>
    <w:rsid w:val="4BF316AA"/>
    <w:rsid w:val="4CCF550D"/>
    <w:rsid w:val="4D2E0486"/>
    <w:rsid w:val="4DD00389"/>
    <w:rsid w:val="4E834801"/>
    <w:rsid w:val="4F3F2E1E"/>
    <w:rsid w:val="4FB43293"/>
    <w:rsid w:val="51A0391C"/>
    <w:rsid w:val="521A36CE"/>
    <w:rsid w:val="521F2A93"/>
    <w:rsid w:val="52F97689"/>
    <w:rsid w:val="53192C95"/>
    <w:rsid w:val="534D1BCA"/>
    <w:rsid w:val="535B7AFB"/>
    <w:rsid w:val="53E80E40"/>
    <w:rsid w:val="553B02A1"/>
    <w:rsid w:val="55BA1450"/>
    <w:rsid w:val="55CC1183"/>
    <w:rsid w:val="55E471B0"/>
    <w:rsid w:val="564B3E56"/>
    <w:rsid w:val="565F3DA6"/>
    <w:rsid w:val="56ED269D"/>
    <w:rsid w:val="57236B81"/>
    <w:rsid w:val="575A06E4"/>
    <w:rsid w:val="579545C5"/>
    <w:rsid w:val="57A316AD"/>
    <w:rsid w:val="57CF0AB7"/>
    <w:rsid w:val="58160494"/>
    <w:rsid w:val="58F20F01"/>
    <w:rsid w:val="599E6EFC"/>
    <w:rsid w:val="59A365D6"/>
    <w:rsid w:val="5BDE751B"/>
    <w:rsid w:val="5C0056E3"/>
    <w:rsid w:val="5C8C1C6A"/>
    <w:rsid w:val="5CAA290F"/>
    <w:rsid w:val="5D9A56C3"/>
    <w:rsid w:val="5DD71F00"/>
    <w:rsid w:val="5E604B5F"/>
    <w:rsid w:val="5EB10F16"/>
    <w:rsid w:val="5F3062DF"/>
    <w:rsid w:val="5F3E6C4E"/>
    <w:rsid w:val="5F7C574F"/>
    <w:rsid w:val="605204D7"/>
    <w:rsid w:val="60F4333C"/>
    <w:rsid w:val="62C258A1"/>
    <w:rsid w:val="6315469A"/>
    <w:rsid w:val="637B1AF3"/>
    <w:rsid w:val="642449A2"/>
    <w:rsid w:val="64487C27"/>
    <w:rsid w:val="65C06EB1"/>
    <w:rsid w:val="65E16585"/>
    <w:rsid w:val="660C63EF"/>
    <w:rsid w:val="66637201"/>
    <w:rsid w:val="66652D12"/>
    <w:rsid w:val="66A66857"/>
    <w:rsid w:val="66C57C55"/>
    <w:rsid w:val="67076882"/>
    <w:rsid w:val="67701057"/>
    <w:rsid w:val="67924CA7"/>
    <w:rsid w:val="67A4621A"/>
    <w:rsid w:val="68232E85"/>
    <w:rsid w:val="68A613C0"/>
    <w:rsid w:val="68D5354B"/>
    <w:rsid w:val="68F44821"/>
    <w:rsid w:val="69373E87"/>
    <w:rsid w:val="69616BC9"/>
    <w:rsid w:val="69807E63"/>
    <w:rsid w:val="69951B60"/>
    <w:rsid w:val="69AE28A1"/>
    <w:rsid w:val="69B35F23"/>
    <w:rsid w:val="6A4644E2"/>
    <w:rsid w:val="6A9C0CCD"/>
    <w:rsid w:val="6B303E97"/>
    <w:rsid w:val="6B3C7DBA"/>
    <w:rsid w:val="6BEC7A32"/>
    <w:rsid w:val="6CD21A7E"/>
    <w:rsid w:val="6CE6083E"/>
    <w:rsid w:val="6CFD2891"/>
    <w:rsid w:val="6D4346E0"/>
    <w:rsid w:val="6D6C3225"/>
    <w:rsid w:val="6DA71E62"/>
    <w:rsid w:val="6DAA1FDA"/>
    <w:rsid w:val="6E8A3EFB"/>
    <w:rsid w:val="6F3C65DA"/>
    <w:rsid w:val="6FF13F65"/>
    <w:rsid w:val="7015662B"/>
    <w:rsid w:val="709541F4"/>
    <w:rsid w:val="70E93DA1"/>
    <w:rsid w:val="714A1C1F"/>
    <w:rsid w:val="719C7069"/>
    <w:rsid w:val="723528B9"/>
    <w:rsid w:val="729A3D44"/>
    <w:rsid w:val="72F84F0E"/>
    <w:rsid w:val="73033BCA"/>
    <w:rsid w:val="734F0661"/>
    <w:rsid w:val="735859AD"/>
    <w:rsid w:val="73F6144E"/>
    <w:rsid w:val="74BF692C"/>
    <w:rsid w:val="74C90910"/>
    <w:rsid w:val="7504558C"/>
    <w:rsid w:val="75120509"/>
    <w:rsid w:val="75A629FF"/>
    <w:rsid w:val="75B23A9A"/>
    <w:rsid w:val="75B82733"/>
    <w:rsid w:val="761356BB"/>
    <w:rsid w:val="7669212E"/>
    <w:rsid w:val="76BD57B2"/>
    <w:rsid w:val="78C338C8"/>
    <w:rsid w:val="78EA52F9"/>
    <w:rsid w:val="78FD502C"/>
    <w:rsid w:val="7A8A69B9"/>
    <w:rsid w:val="7BC861BA"/>
    <w:rsid w:val="7C122B9D"/>
    <w:rsid w:val="7C977546"/>
    <w:rsid w:val="7CDE33C7"/>
    <w:rsid w:val="7D160DAF"/>
    <w:rsid w:val="7D341239"/>
    <w:rsid w:val="7D397965"/>
    <w:rsid w:val="7D3D633F"/>
    <w:rsid w:val="7E134655"/>
    <w:rsid w:val="7E672A7C"/>
    <w:rsid w:val="7EEF6D5A"/>
    <w:rsid w:val="7FF53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8"/>
    <w:autoRedefine/>
    <w:qFormat/>
    <w:uiPriority w:val="1"/>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9"/>
    <w:autoRedefine/>
    <w:qFormat/>
    <w:uiPriority w:val="1"/>
    <w:pPr>
      <w:keepNext/>
      <w:keepLines/>
      <w:spacing w:before="260" w:after="260" w:line="412" w:lineRule="auto"/>
      <w:outlineLvl w:val="1"/>
    </w:pPr>
    <w:rPr>
      <w:rFonts w:ascii="Arial" w:hAnsi="Arial" w:eastAsia="黑体" w:cs="Arial"/>
      <w:b/>
      <w:bCs/>
      <w:sz w:val="32"/>
      <w:szCs w:val="32"/>
    </w:rPr>
  </w:style>
  <w:style w:type="paragraph" w:styleId="4">
    <w:name w:val="heading 3"/>
    <w:basedOn w:val="1"/>
    <w:next w:val="1"/>
    <w:link w:val="30"/>
    <w:autoRedefine/>
    <w:qFormat/>
    <w:uiPriority w:val="1"/>
    <w:pPr>
      <w:keepNext/>
      <w:keepLines/>
      <w:spacing w:before="260" w:after="260" w:line="416" w:lineRule="auto"/>
      <w:outlineLvl w:val="2"/>
    </w:pPr>
    <w:rPr>
      <w:rFonts w:ascii="Times New Roman" w:hAnsi="Times New Roman" w:eastAsia="宋体" w:cs="Times New Roman"/>
      <w:b/>
      <w:bCs/>
      <w:sz w:val="32"/>
      <w:szCs w:val="32"/>
    </w:rPr>
  </w:style>
  <w:style w:type="paragraph" w:styleId="5">
    <w:name w:val="heading 4"/>
    <w:basedOn w:val="1"/>
    <w:next w:val="1"/>
    <w:autoRedefine/>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unhideWhenUsed/>
    <w:qFormat/>
    <w:uiPriority w:val="99"/>
    <w:pPr>
      <w:ind w:firstLine="420"/>
    </w:pPr>
    <w:rPr>
      <w:rFonts w:ascii="Calibri" w:hAnsi="Calibri" w:eastAsia="宋体" w:cs="Times New Roman"/>
      <w:szCs w:val="22"/>
    </w:rPr>
  </w:style>
  <w:style w:type="paragraph" w:styleId="7">
    <w:name w:val="annotation text"/>
    <w:basedOn w:val="1"/>
    <w:link w:val="31"/>
    <w:autoRedefine/>
    <w:unhideWhenUsed/>
    <w:qFormat/>
    <w:uiPriority w:val="99"/>
    <w:pPr>
      <w:jc w:val="left"/>
    </w:pPr>
    <w:rPr>
      <w:rFonts w:ascii="Times New Roman" w:hAnsi="Times New Roman" w:eastAsia="宋体" w:cs="Times New Roman"/>
      <w:kern w:val="0"/>
      <w:sz w:val="20"/>
      <w:szCs w:val="21"/>
    </w:rPr>
  </w:style>
  <w:style w:type="paragraph" w:styleId="8">
    <w:name w:val="Body Text"/>
    <w:basedOn w:val="1"/>
    <w:link w:val="32"/>
    <w:autoRedefine/>
    <w:qFormat/>
    <w:uiPriority w:val="1"/>
    <w:pPr>
      <w:autoSpaceDE w:val="0"/>
      <w:autoSpaceDN w:val="0"/>
      <w:jc w:val="left"/>
    </w:pPr>
    <w:rPr>
      <w:rFonts w:ascii="宋体" w:hAnsi="宋体" w:eastAsia="宋体" w:cs="宋体"/>
      <w:kern w:val="0"/>
      <w:sz w:val="24"/>
      <w:szCs w:val="24"/>
      <w:lang w:val="zh-CN" w:bidi="zh-CN"/>
    </w:rPr>
  </w:style>
  <w:style w:type="paragraph" w:styleId="9">
    <w:name w:val="Body Text Indent"/>
    <w:basedOn w:val="1"/>
    <w:next w:val="10"/>
    <w:autoRedefine/>
    <w:unhideWhenUsed/>
    <w:qFormat/>
    <w:uiPriority w:val="99"/>
    <w:pPr>
      <w:snapToGrid w:val="0"/>
      <w:spacing w:line="520" w:lineRule="atLeast"/>
      <w:ind w:firstLine="570"/>
    </w:pPr>
    <w:rPr>
      <w:sz w:val="28"/>
    </w:rPr>
  </w:style>
  <w:style w:type="paragraph" w:styleId="10">
    <w:name w:val="envelope return"/>
    <w:basedOn w:val="1"/>
    <w:next w:val="1"/>
    <w:autoRedefine/>
    <w:qFormat/>
    <w:uiPriority w:val="0"/>
    <w:pPr>
      <w:widowControl/>
    </w:pPr>
    <w:rPr>
      <w:kern w:val="0"/>
      <w:sz w:val="22"/>
      <w:szCs w:val="20"/>
      <w:lang w:val="en-GB" w:eastAsia="en-US"/>
    </w:rPr>
  </w:style>
  <w:style w:type="paragraph" w:styleId="11">
    <w:name w:val="Plain Text"/>
    <w:basedOn w:val="1"/>
    <w:link w:val="33"/>
    <w:autoRedefine/>
    <w:unhideWhenUsed/>
    <w:qFormat/>
    <w:uiPriority w:val="0"/>
    <w:rPr>
      <w:rFonts w:ascii="宋体" w:hAnsi="Courier New" w:eastAsia="宋体" w:cs="Times New Roman"/>
    </w:rPr>
  </w:style>
  <w:style w:type="paragraph" w:styleId="12">
    <w:name w:val="Body Text Indent 2"/>
    <w:basedOn w:val="1"/>
    <w:link w:val="34"/>
    <w:autoRedefine/>
    <w:unhideWhenUsed/>
    <w:qFormat/>
    <w:uiPriority w:val="99"/>
    <w:pPr>
      <w:spacing w:after="120" w:line="480" w:lineRule="auto"/>
      <w:ind w:left="420" w:leftChars="200"/>
    </w:pPr>
    <w:rPr>
      <w:rFonts w:ascii="Times New Roman" w:hAnsi="Times New Roman" w:eastAsia="宋体" w:cs="Times New Roman"/>
      <w:szCs w:val="21"/>
    </w:rPr>
  </w:style>
  <w:style w:type="paragraph" w:styleId="13">
    <w:name w:val="Balloon Text"/>
    <w:basedOn w:val="1"/>
    <w:link w:val="35"/>
    <w:autoRedefine/>
    <w:unhideWhenUsed/>
    <w:qFormat/>
    <w:uiPriority w:val="99"/>
    <w:rPr>
      <w:rFonts w:ascii="Times New Roman" w:hAnsi="Times New Roman" w:eastAsia="宋体" w:cs="Times New Roman"/>
      <w:sz w:val="18"/>
      <w:szCs w:val="18"/>
    </w:rPr>
  </w:style>
  <w:style w:type="paragraph" w:styleId="14">
    <w:name w:val="footer"/>
    <w:basedOn w:val="1"/>
    <w:link w:val="36"/>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15">
    <w:name w:val="header"/>
    <w:basedOn w:val="1"/>
    <w:link w:val="37"/>
    <w:autoRedefine/>
    <w:unhideWhenUsed/>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6">
    <w:name w:val="toc 1"/>
    <w:basedOn w:val="1"/>
    <w:next w:val="1"/>
    <w:autoRedefine/>
    <w:qFormat/>
    <w:uiPriority w:val="39"/>
    <w:pPr>
      <w:autoSpaceDE w:val="0"/>
      <w:autoSpaceDN w:val="0"/>
      <w:spacing w:before="146"/>
      <w:ind w:left="455"/>
      <w:jc w:val="left"/>
    </w:pPr>
    <w:rPr>
      <w:rFonts w:ascii="宋体" w:hAnsi="宋体" w:eastAsia="宋体" w:cs="宋体"/>
      <w:b/>
      <w:bCs/>
      <w:kern w:val="0"/>
      <w:sz w:val="22"/>
      <w:lang w:val="zh-CN" w:bidi="zh-CN"/>
    </w:rPr>
  </w:style>
  <w:style w:type="paragraph" w:styleId="17">
    <w:name w:val="List"/>
    <w:basedOn w:val="1"/>
    <w:qFormat/>
    <w:uiPriority w:val="0"/>
    <w:pPr>
      <w:ind w:left="420" w:hanging="420"/>
    </w:pPr>
  </w:style>
  <w:style w:type="paragraph" w:styleId="18">
    <w:name w:val="footnote text"/>
    <w:basedOn w:val="1"/>
    <w:link w:val="38"/>
    <w:autoRedefine/>
    <w:unhideWhenUsed/>
    <w:qFormat/>
    <w:uiPriority w:val="99"/>
    <w:pPr>
      <w:snapToGrid w:val="0"/>
      <w:jc w:val="left"/>
    </w:pPr>
    <w:rPr>
      <w:rFonts w:ascii="Calibri" w:hAnsi="Calibri" w:eastAsia="宋体" w:cs="Times New Roman"/>
      <w:sz w:val="18"/>
      <w:szCs w:val="18"/>
    </w:rPr>
  </w:style>
  <w:style w:type="paragraph" w:styleId="19">
    <w:name w:val="Normal (Web)"/>
    <w:basedOn w:val="1"/>
    <w:autoRedefine/>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styleId="20">
    <w:name w:val="Title"/>
    <w:basedOn w:val="1"/>
    <w:next w:val="1"/>
    <w:qFormat/>
    <w:uiPriority w:val="0"/>
    <w:pPr>
      <w:spacing w:before="240" w:after="60"/>
      <w:jc w:val="center"/>
      <w:outlineLvl w:val="0"/>
    </w:pPr>
    <w:rPr>
      <w:rFonts w:ascii="Cambria" w:hAnsi="Cambria"/>
      <w:b/>
      <w:bCs/>
      <w:sz w:val="32"/>
      <w:szCs w:val="32"/>
      <w:lang w:val="zh-CN"/>
    </w:rPr>
  </w:style>
  <w:style w:type="paragraph" w:styleId="21">
    <w:name w:val="Body Text First Indent 2"/>
    <w:basedOn w:val="9"/>
    <w:next w:val="17"/>
    <w:autoRedefine/>
    <w:qFormat/>
    <w:uiPriority w:val="0"/>
    <w:pPr>
      <w:ind w:firstLine="420" w:firstLineChars="200"/>
    </w:pPr>
  </w:style>
  <w:style w:type="table" w:styleId="23">
    <w:name w:val="Table Grid"/>
    <w:basedOn w:val="22"/>
    <w:autoRedefine/>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rPr>
  </w:style>
  <w:style w:type="character" w:styleId="26">
    <w:name w:val="Hyperlink"/>
    <w:autoRedefine/>
    <w:unhideWhenUsed/>
    <w:qFormat/>
    <w:uiPriority w:val="99"/>
    <w:rPr>
      <w:color w:val="0000FF"/>
      <w:u w:val="single"/>
    </w:rPr>
  </w:style>
  <w:style w:type="character" w:styleId="27">
    <w:name w:val="footnote reference"/>
    <w:autoRedefine/>
    <w:unhideWhenUsed/>
    <w:qFormat/>
    <w:uiPriority w:val="99"/>
    <w:rPr>
      <w:vertAlign w:val="superscript"/>
    </w:rPr>
  </w:style>
  <w:style w:type="character" w:customStyle="1" w:styleId="28">
    <w:name w:val="标题 1 字符"/>
    <w:basedOn w:val="24"/>
    <w:link w:val="2"/>
    <w:autoRedefine/>
    <w:qFormat/>
    <w:uiPriority w:val="1"/>
    <w:rPr>
      <w:rFonts w:ascii="Times New Roman" w:hAnsi="Times New Roman" w:eastAsia="宋体" w:cs="Times New Roman"/>
      <w:b/>
      <w:bCs/>
      <w:kern w:val="44"/>
      <w:sz w:val="44"/>
      <w:szCs w:val="44"/>
    </w:rPr>
  </w:style>
  <w:style w:type="character" w:customStyle="1" w:styleId="29">
    <w:name w:val="标题 2 字符"/>
    <w:basedOn w:val="24"/>
    <w:link w:val="3"/>
    <w:autoRedefine/>
    <w:qFormat/>
    <w:uiPriority w:val="1"/>
    <w:rPr>
      <w:rFonts w:ascii="Arial" w:hAnsi="Arial" w:eastAsia="黑体" w:cs="Arial"/>
      <w:b/>
      <w:bCs/>
      <w:sz w:val="32"/>
      <w:szCs w:val="32"/>
    </w:rPr>
  </w:style>
  <w:style w:type="character" w:customStyle="1" w:styleId="30">
    <w:name w:val="标题 3 字符"/>
    <w:basedOn w:val="24"/>
    <w:link w:val="4"/>
    <w:autoRedefine/>
    <w:qFormat/>
    <w:uiPriority w:val="1"/>
    <w:rPr>
      <w:rFonts w:ascii="Times New Roman" w:hAnsi="Times New Roman" w:eastAsia="宋体" w:cs="Times New Roman"/>
      <w:b/>
      <w:bCs/>
      <w:sz w:val="32"/>
      <w:szCs w:val="32"/>
    </w:rPr>
  </w:style>
  <w:style w:type="character" w:customStyle="1" w:styleId="31">
    <w:name w:val="批注文字 字符"/>
    <w:basedOn w:val="24"/>
    <w:link w:val="7"/>
    <w:autoRedefine/>
    <w:qFormat/>
    <w:uiPriority w:val="99"/>
    <w:rPr>
      <w:rFonts w:ascii="Times New Roman" w:hAnsi="Times New Roman" w:eastAsia="宋体" w:cs="Times New Roman"/>
      <w:kern w:val="0"/>
      <w:sz w:val="20"/>
      <w:szCs w:val="21"/>
    </w:rPr>
  </w:style>
  <w:style w:type="character" w:customStyle="1" w:styleId="32">
    <w:name w:val="正文文本 字符"/>
    <w:basedOn w:val="24"/>
    <w:link w:val="8"/>
    <w:autoRedefine/>
    <w:qFormat/>
    <w:uiPriority w:val="1"/>
    <w:rPr>
      <w:rFonts w:ascii="宋体" w:hAnsi="宋体" w:eastAsia="宋体" w:cs="宋体"/>
      <w:kern w:val="0"/>
      <w:sz w:val="24"/>
      <w:szCs w:val="24"/>
      <w:lang w:val="zh-CN" w:bidi="zh-CN"/>
    </w:rPr>
  </w:style>
  <w:style w:type="character" w:customStyle="1" w:styleId="33">
    <w:name w:val="纯文本 字符"/>
    <w:basedOn w:val="24"/>
    <w:link w:val="11"/>
    <w:autoRedefine/>
    <w:qFormat/>
    <w:uiPriority w:val="0"/>
    <w:rPr>
      <w:rFonts w:ascii="宋体" w:hAnsi="Courier New" w:eastAsia="宋体" w:cs="Times New Roman"/>
    </w:rPr>
  </w:style>
  <w:style w:type="character" w:customStyle="1" w:styleId="34">
    <w:name w:val="正文文本缩进 2 字符"/>
    <w:basedOn w:val="24"/>
    <w:link w:val="12"/>
    <w:autoRedefine/>
    <w:qFormat/>
    <w:uiPriority w:val="99"/>
    <w:rPr>
      <w:rFonts w:ascii="Times New Roman" w:hAnsi="Times New Roman" w:eastAsia="宋体" w:cs="Times New Roman"/>
      <w:szCs w:val="21"/>
    </w:rPr>
  </w:style>
  <w:style w:type="character" w:customStyle="1" w:styleId="35">
    <w:name w:val="批注框文本 字符"/>
    <w:basedOn w:val="24"/>
    <w:link w:val="13"/>
    <w:autoRedefine/>
    <w:qFormat/>
    <w:uiPriority w:val="99"/>
    <w:rPr>
      <w:rFonts w:ascii="Times New Roman" w:hAnsi="Times New Roman" w:eastAsia="宋体" w:cs="Times New Roman"/>
      <w:sz w:val="18"/>
      <w:szCs w:val="18"/>
    </w:rPr>
  </w:style>
  <w:style w:type="character" w:customStyle="1" w:styleId="36">
    <w:name w:val="页脚 字符"/>
    <w:basedOn w:val="24"/>
    <w:link w:val="14"/>
    <w:autoRedefine/>
    <w:qFormat/>
    <w:uiPriority w:val="99"/>
    <w:rPr>
      <w:rFonts w:ascii="Times New Roman" w:hAnsi="Times New Roman" w:eastAsia="宋体" w:cs="Times New Roman"/>
      <w:sz w:val="18"/>
      <w:szCs w:val="18"/>
    </w:rPr>
  </w:style>
  <w:style w:type="character" w:customStyle="1" w:styleId="37">
    <w:name w:val="页眉 字符"/>
    <w:basedOn w:val="24"/>
    <w:link w:val="15"/>
    <w:autoRedefine/>
    <w:qFormat/>
    <w:uiPriority w:val="99"/>
    <w:rPr>
      <w:rFonts w:ascii="Times New Roman" w:hAnsi="Times New Roman" w:eastAsia="宋体" w:cs="Times New Roman"/>
      <w:sz w:val="18"/>
      <w:szCs w:val="18"/>
    </w:rPr>
  </w:style>
  <w:style w:type="character" w:customStyle="1" w:styleId="38">
    <w:name w:val="脚注文本 字符"/>
    <w:basedOn w:val="24"/>
    <w:link w:val="18"/>
    <w:autoRedefine/>
    <w:qFormat/>
    <w:uiPriority w:val="99"/>
    <w:rPr>
      <w:rFonts w:ascii="Calibri" w:hAnsi="Calibri" w:eastAsia="宋体" w:cs="Times New Roman"/>
      <w:sz w:val="18"/>
      <w:szCs w:val="18"/>
    </w:rPr>
  </w:style>
  <w:style w:type="character" w:customStyle="1" w:styleId="39">
    <w:name w:val="style3"/>
    <w:autoRedefine/>
    <w:qFormat/>
    <w:uiPriority w:val="0"/>
  </w:style>
  <w:style w:type="table" w:customStyle="1" w:styleId="40">
    <w:name w:val="Table Normal"/>
    <w:autoRedefine/>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41">
    <w:name w:val="Table Paragraph"/>
    <w:basedOn w:val="1"/>
    <w:autoRedefine/>
    <w:qFormat/>
    <w:uiPriority w:val="1"/>
    <w:pPr>
      <w:autoSpaceDE w:val="0"/>
      <w:autoSpaceDN w:val="0"/>
      <w:jc w:val="left"/>
    </w:pPr>
    <w:rPr>
      <w:rFonts w:ascii="宋体" w:hAnsi="宋体" w:eastAsia="宋体" w:cs="宋体"/>
      <w:kern w:val="0"/>
      <w:sz w:val="22"/>
      <w:lang w:val="zh-CN" w:bidi="zh-CN"/>
    </w:rPr>
  </w:style>
  <w:style w:type="paragraph" w:styleId="42">
    <w:name w:val="List Paragraph"/>
    <w:basedOn w:val="1"/>
    <w:autoRedefine/>
    <w:qFormat/>
    <w:uiPriority w:val="1"/>
    <w:pPr>
      <w:autoSpaceDE w:val="0"/>
      <w:autoSpaceDN w:val="0"/>
      <w:ind w:left="234" w:firstLine="434"/>
      <w:jc w:val="left"/>
    </w:pPr>
    <w:rPr>
      <w:rFonts w:ascii="宋体" w:hAnsi="宋体" w:eastAsia="宋体" w:cs="宋体"/>
      <w:kern w:val="0"/>
      <w:sz w:val="22"/>
      <w:lang w:val="zh-CN" w:bidi="zh-CN"/>
    </w:rPr>
  </w:style>
  <w:style w:type="paragraph" w:customStyle="1" w:styleId="43">
    <w:name w:val="p15"/>
    <w:basedOn w:val="1"/>
    <w:next w:val="7"/>
    <w:autoRedefine/>
    <w:qFormat/>
    <w:uiPriority w:val="99"/>
    <w:pPr>
      <w:widowControl/>
    </w:pPr>
    <w:rPr>
      <w:rFonts w:ascii="Times New Roman" w:hAnsi="Times New Roman" w:eastAsia="宋体" w:cs="Times New Roman"/>
      <w:kern w:val="0"/>
      <w:szCs w:val="21"/>
    </w:rPr>
  </w:style>
  <w:style w:type="paragraph" w:customStyle="1" w:styleId="44">
    <w:name w:val="标题 31"/>
    <w:basedOn w:val="1"/>
    <w:autoRedefine/>
    <w:qFormat/>
    <w:uiPriority w:val="1"/>
    <w:pPr>
      <w:autoSpaceDE w:val="0"/>
      <w:autoSpaceDN w:val="0"/>
      <w:spacing w:before="132"/>
      <w:ind w:left="220"/>
      <w:jc w:val="left"/>
      <w:outlineLvl w:val="3"/>
    </w:pPr>
    <w:rPr>
      <w:rFonts w:ascii="宋体" w:hAnsi="宋体" w:eastAsia="宋体" w:cs="宋体"/>
      <w:b/>
      <w:bCs/>
      <w:kern w:val="0"/>
      <w:sz w:val="24"/>
      <w:szCs w:val="24"/>
      <w:lang w:val="zh-CN" w:bidi="zh-CN"/>
    </w:rPr>
  </w:style>
  <w:style w:type="table" w:customStyle="1" w:styleId="45">
    <w:name w:val="Table Normal1"/>
    <w:autoRedefine/>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46">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47">
    <w:name w:val="列出段落1"/>
    <w:basedOn w:val="1"/>
    <w:autoRedefine/>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 w:type="paragraph" w:customStyle="1" w:styleId="48">
    <w:name w:val="Table Text"/>
    <w:basedOn w:val="1"/>
    <w:semiHidden/>
    <w:qFormat/>
    <w:uiPriority w:val="0"/>
    <w:rPr>
      <w:rFonts w:ascii="宋体" w:hAnsi="宋体" w:eastAsia="宋体" w:cs="宋体"/>
      <w:sz w:val="21"/>
      <w:szCs w:val="21"/>
      <w:lang w:val="en-US" w:eastAsia="en-US" w:bidi="ar-SA"/>
    </w:rPr>
  </w:style>
  <w:style w:type="paragraph" w:customStyle="1" w:styleId="49">
    <w:name w:val="First Paragraph"/>
    <w:basedOn w:val="8"/>
    <w:next w:val="8"/>
    <w:qFormat/>
    <w:uiPriority w:val="0"/>
  </w:style>
  <w:style w:type="character" w:customStyle="1" w:styleId="50">
    <w:name w:val="font31"/>
    <w:basedOn w:val="24"/>
    <w:qFormat/>
    <w:uiPriority w:val="0"/>
    <w:rPr>
      <w:rFonts w:hint="eastAsia" w:ascii="宋体" w:hAnsi="宋体" w:eastAsia="宋体" w:cs="宋体"/>
      <w:color w:val="000000"/>
      <w:sz w:val="20"/>
      <w:szCs w:val="20"/>
      <w:u w:val="single"/>
    </w:rPr>
  </w:style>
  <w:style w:type="character" w:customStyle="1" w:styleId="51">
    <w:name w:val="font21"/>
    <w:basedOn w:val="24"/>
    <w:qFormat/>
    <w:uiPriority w:val="0"/>
    <w:rPr>
      <w:rFonts w:hint="eastAsia" w:ascii="宋体" w:hAnsi="宋体" w:eastAsia="宋体" w:cs="宋体"/>
      <w:color w:val="000000"/>
      <w:sz w:val="20"/>
      <w:szCs w:val="20"/>
      <w:u w:val="none"/>
    </w:rPr>
  </w:style>
  <w:style w:type="paragraph" w:customStyle="1" w:styleId="52">
    <w:name w:val="Char Char Char Char Char Char Char1 Char"/>
    <w:basedOn w:val="1"/>
    <w:qFormat/>
    <w:uiPriority w:val="0"/>
    <w:rPr>
      <w:rFonts w:ascii="Arial" w:hAnsi="Arial" w:eastAsia="宋体" w:cs="Arial"/>
      <w:sz w:val="24"/>
    </w:rPr>
  </w:style>
  <w:style w:type="paragraph" w:customStyle="1" w:styleId="53">
    <w:name w:val="合同正文"/>
    <w:basedOn w:val="1"/>
    <w:qFormat/>
    <w:uiPriority w:val="0"/>
    <w:pPr>
      <w:spacing w:line="365" w:lineRule="auto"/>
      <w:jc w:val="both"/>
    </w:pPr>
    <w:rPr>
      <w:rFonts w:eastAsia="宋体"/>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41</Pages>
  <Words>14031</Words>
  <Characters>14803</Characters>
  <Lines>258</Lines>
  <Paragraphs>72</Paragraphs>
  <TotalTime>9</TotalTime>
  <ScaleCrop>false</ScaleCrop>
  <LinksUpToDate>false</LinksUpToDate>
  <CharactersWithSpaces>15252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2023-10-18T02:44:00Z</dcterms:created>
  <dc:creator>hanson</dc:creator>
  <cp:lastModifiedBy>程慧园</cp:lastModifiedBy>
  <dcterms:modified xsi:type="dcterms:W3CDTF">2026-10-19T00:36:13Z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6FD8E760263E4F989D79ACB3189A4620_13</vt:lpwstr>
  </property>
  <property fmtid="{D5CDD505-2E9C-101B-9397-08002B2CF9AE}" pid="4" name="KSOTemplateDocerSaveRecord">
    <vt:lpwstr>eyJoZGlkIjoiZDkwYjE4ZTdkN2JlNTMwZTJiMTEyNDU3NTkyMWI5ZDUiLCJ1c2VySWQiOiIxMDI1NTE1NzIxIn0=</vt:lpwstr>
  </property>
</Properties>
</file>